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D865" w14:textId="77777777" w:rsidR="00C92E07" w:rsidRPr="006F1B31" w:rsidRDefault="00C8126D" w:rsidP="002960DD">
      <w:pPr>
        <w:pStyle w:val="SCT"/>
        <w:jc w:val="both"/>
        <w:rPr>
          <w:rFonts w:cs="Arial"/>
          <w:szCs w:val="22"/>
        </w:rPr>
      </w:pPr>
      <w:r>
        <w:t xml:space="preserve">SECTION </w:t>
      </w:r>
      <w:r>
        <w:rPr>
          <w:rStyle w:val="NUM"/>
        </w:rPr>
        <w:t xml:space="preserve">08 42 29.23 </w:t>
      </w:r>
      <w:r>
        <w:t xml:space="preserve">– </w:t>
      </w:r>
      <w:r>
        <w:rPr>
          <w:rStyle w:val="NAM"/>
        </w:rPr>
        <w:t>ENTRÉES AUTOMATIQUES COULISSANTES</w:t>
      </w:r>
    </w:p>
    <w:p w14:paraId="597F640C" w14:textId="77777777" w:rsidR="00C92E07" w:rsidRPr="006F1B31" w:rsidRDefault="00C8126D" w:rsidP="002960DD">
      <w:pPr>
        <w:pStyle w:val="PRT"/>
        <w:jc w:val="both"/>
      </w:pPr>
      <w:r>
        <w:t>GÉNÉRAL</w:t>
      </w:r>
    </w:p>
    <w:p w14:paraId="072DF389" w14:textId="77777777" w:rsidR="00C92E07" w:rsidRDefault="00C8126D" w:rsidP="002960DD">
      <w:pPr>
        <w:pStyle w:val="ART"/>
        <w:jc w:val="both"/>
      </w:pPr>
      <w:r>
        <w:t>RÉSUMÉ</w:t>
      </w:r>
    </w:p>
    <w:p w14:paraId="08E473B6" w14:textId="77777777" w:rsidR="00DD78FB" w:rsidRPr="00DD78FB" w:rsidRDefault="00C8126D" w:rsidP="002960DD">
      <w:pPr>
        <w:pStyle w:val="PRT"/>
        <w:numPr>
          <w:ilvl w:val="0"/>
          <w:numId w:val="0"/>
        </w:numPr>
        <w:spacing w:before="120" w:after="120"/>
        <w:jc w:val="both"/>
        <w:rPr>
          <w:b/>
          <w:i/>
          <w:u w:val="single"/>
        </w:rPr>
      </w:pPr>
      <w:r>
        <w:rPr>
          <w:b/>
          <w:i/>
          <w:highlight w:val="lightGray"/>
          <w:u w:val="single"/>
        </w:rPr>
        <w:t>REMARQUE :  Modifier cette spécification selon les besoins du projet</w:t>
      </w:r>
    </w:p>
    <w:p w14:paraId="3F37D5A6" w14:textId="77777777" w:rsidR="00C92E07" w:rsidRPr="006F1B31" w:rsidRDefault="00C8126D" w:rsidP="002960DD">
      <w:pPr>
        <w:pStyle w:val="PR1"/>
      </w:pPr>
      <w:r>
        <w:t>Cette section comprend les types suivants de portes d'entrée automatiques :</w:t>
      </w:r>
    </w:p>
    <w:p w14:paraId="5C0C148C" w14:textId="77777777" w:rsidR="00CB34DE" w:rsidRPr="008462CD" w:rsidRDefault="00C8126D" w:rsidP="002960DD">
      <w:pPr>
        <w:pStyle w:val="PR2"/>
      </w:pPr>
      <w:r>
        <w:t>Entrées coulissantes automatiques entièrement vitrées, à dégagement total, avec panneaux latéraux fixes à l'extérieur et à l'intérieur.</w:t>
      </w:r>
    </w:p>
    <w:p w14:paraId="567D377E" w14:textId="77777777" w:rsidR="00C92E07" w:rsidRPr="006F1B31" w:rsidRDefault="00C8126D" w:rsidP="002960DD">
      <w:pPr>
        <w:pStyle w:val="PR1"/>
      </w:pPr>
      <w:r>
        <w:t>Sections connexes :</w:t>
      </w:r>
    </w:p>
    <w:p w14:paraId="1CC6C78C" w14:textId="77777777" w:rsidR="00C92E07" w:rsidRPr="006F1B31" w:rsidRDefault="00C8126D" w:rsidP="002960DD">
      <w:pPr>
        <w:pStyle w:val="PR2"/>
      </w:pPr>
      <w:r>
        <w:t>Sections de la Division 7 pour le calfeutrage, dans la mesure où cela n'est pas précisé dans la présente section.</w:t>
      </w:r>
    </w:p>
    <w:p w14:paraId="10E2197C" w14:textId="77777777" w:rsidR="00C92E07" w:rsidRPr="00DD78FB" w:rsidRDefault="00C8126D" w:rsidP="002960DD">
      <w:pPr>
        <w:pStyle w:val="PR2"/>
        <w:rPr>
          <w:highlight w:val="yellow"/>
        </w:rPr>
      </w:pPr>
      <w:r>
        <w:rPr>
          <w:highlight w:val="yellow"/>
        </w:rPr>
        <w:t>[Section « Entrées et devantures de magasin avec structure en aluminium » de la Division 8 pour les entrées fournies séparément dans la Section de la Division 8.</w:t>
      </w:r>
    </w:p>
    <w:p w14:paraId="4CF8526F" w14:textId="77777777" w:rsidR="00CB34DE" w:rsidRPr="00DD78FB" w:rsidRDefault="00C8126D" w:rsidP="002960DD">
      <w:pPr>
        <w:pStyle w:val="PR2"/>
        <w:rPr>
          <w:highlight w:val="yellow"/>
        </w:rPr>
      </w:pPr>
      <w:r>
        <w:rPr>
          <w:highlight w:val="yellow"/>
        </w:rPr>
        <w:t>[Section « Entrées et devantures entièrement vitrées » de la Division 8 pour les entrées décrites séparément dans cette section.]</w:t>
      </w:r>
    </w:p>
    <w:p w14:paraId="6D7F427D" w14:textId="77777777" w:rsidR="00C92E07" w:rsidRPr="00DD78FB" w:rsidRDefault="00C8126D" w:rsidP="002960DD">
      <w:pPr>
        <w:pStyle w:val="PR2"/>
        <w:rPr>
          <w:highlight w:val="yellow"/>
        </w:rPr>
      </w:pPr>
      <w:r>
        <w:rPr>
          <w:highlight w:val="yellow"/>
        </w:rPr>
        <w:t>[Section « Quincaillerie de porte » de la Division 8 pour la quincaillerie non mentionnée dans la présente section.]</w:t>
      </w:r>
    </w:p>
    <w:p w14:paraId="4626B144" w14:textId="77777777" w:rsidR="00C92E07" w:rsidRPr="006F1B31" w:rsidRDefault="00C8126D" w:rsidP="002960DD">
      <w:pPr>
        <w:pStyle w:val="PR2"/>
      </w:pPr>
      <w:r>
        <w:t>Sections des Divisions 26 et 28 pour les raccordements électriques, notamment les conduits et le câblage destinés aux opérateurs de portes d'entrée automatiques et aux dispositifs de contrôle d'accès.</w:t>
      </w:r>
    </w:p>
    <w:p w14:paraId="556B6148" w14:textId="77777777" w:rsidR="00C92E07" w:rsidRPr="006F1B31" w:rsidRDefault="00C8126D" w:rsidP="002960DD">
      <w:pPr>
        <w:pStyle w:val="ART"/>
        <w:jc w:val="both"/>
      </w:pPr>
      <w:r>
        <w:t>RÉFÉRENCES</w:t>
      </w:r>
    </w:p>
    <w:p w14:paraId="137FF05C" w14:textId="77777777" w:rsidR="00C92E07" w:rsidRPr="006F1B31" w:rsidRDefault="00C8126D" w:rsidP="002960DD">
      <w:pPr>
        <w:pStyle w:val="PR1"/>
      </w:pPr>
      <w:r>
        <w:t xml:space="preserve">Références :  Reportez-vous aux versions adoptées par l'autorité compétente.   </w:t>
      </w:r>
    </w:p>
    <w:p w14:paraId="2E34ADCC" w14:textId="77777777" w:rsidR="00C92E07" w:rsidRPr="006F1B31" w:rsidRDefault="00C8126D" w:rsidP="002960DD">
      <w:pPr>
        <w:pStyle w:val="PR2"/>
      </w:pPr>
      <w:r>
        <w:t>ANSI A117.1 - Bâtiments et installations accessibles et fonctionnels.</w:t>
      </w:r>
    </w:p>
    <w:p w14:paraId="35FC43AD" w14:textId="77777777" w:rsidR="00C92E07" w:rsidRPr="006F1B31" w:rsidRDefault="00C8126D" w:rsidP="002960DD">
      <w:pPr>
        <w:pStyle w:val="PR2"/>
      </w:pPr>
      <w:r>
        <w:t>ICC/IBC - Code international du bâtiment.</w:t>
      </w:r>
    </w:p>
    <w:p w14:paraId="29BD1226" w14:textId="77777777" w:rsidR="00C92E07" w:rsidRPr="006F1B31" w:rsidRDefault="00C8126D" w:rsidP="002960DD">
      <w:pPr>
        <w:pStyle w:val="PR2"/>
      </w:pPr>
      <w:r>
        <w:t>CUL – Homologué pour une utilisation au Canada.</w:t>
      </w:r>
    </w:p>
    <w:p w14:paraId="556E0E86" w14:textId="77777777" w:rsidR="00C92E07" w:rsidRPr="006F1B31" w:rsidRDefault="00C8126D" w:rsidP="002960DD">
      <w:pPr>
        <w:pStyle w:val="PR2"/>
      </w:pPr>
      <w:r>
        <w:t>NFPA 70 - Code national de l'électricité.</w:t>
      </w:r>
    </w:p>
    <w:p w14:paraId="7A3018E5" w14:textId="77777777" w:rsidR="00C92E07" w:rsidRPr="006F1B31" w:rsidRDefault="00C8126D" w:rsidP="002960DD">
      <w:pPr>
        <w:pStyle w:val="PR2"/>
      </w:pPr>
      <w:r>
        <w:t>NFPA 101 - Code de sécurité des personnes.</w:t>
      </w:r>
    </w:p>
    <w:p w14:paraId="223810D0" w14:textId="77777777" w:rsidR="00C92E07" w:rsidRPr="006F1B31" w:rsidRDefault="00C8126D" w:rsidP="002960DD">
      <w:pPr>
        <w:pStyle w:val="PR1"/>
      </w:pPr>
      <w:r>
        <w:t>Institut national américain de normalisation (ANSI) / Association des fabricants de quincaillerie de bâtiment (BHMA).</w:t>
      </w:r>
    </w:p>
    <w:p w14:paraId="5BE9CCB5" w14:textId="77777777" w:rsidR="00C92E07" w:rsidRPr="006F1B31" w:rsidRDefault="00C8126D" w:rsidP="002960DD">
      <w:pPr>
        <w:pStyle w:val="PR2"/>
      </w:pPr>
      <w:r>
        <w:t>ANSI/BHMA A156.10 – Norme nationale américaine pour les portes piétonnes à commande électrique.</w:t>
      </w:r>
    </w:p>
    <w:p w14:paraId="335F3118" w14:textId="77777777" w:rsidR="00C92E07" w:rsidRPr="006F1B31" w:rsidRDefault="00C8126D" w:rsidP="002960DD">
      <w:pPr>
        <w:pStyle w:val="PR2"/>
      </w:pPr>
      <w:r>
        <w:t>ANSI Z97.1 Normes relatives aux matériaux de vitrage de sécurité utilisés dans les bâtiments.</w:t>
      </w:r>
    </w:p>
    <w:p w14:paraId="65EB2A6D" w14:textId="77777777" w:rsidR="00C92E07" w:rsidRPr="006F1B31" w:rsidRDefault="00C8126D" w:rsidP="002960DD">
      <w:pPr>
        <w:pStyle w:val="PR1"/>
      </w:pPr>
      <w:r>
        <w:t>Underwriters Laboratories (UL).</w:t>
      </w:r>
    </w:p>
    <w:p w14:paraId="09C78718" w14:textId="77777777" w:rsidR="00C92E07" w:rsidRPr="006F1B31" w:rsidRDefault="00C8126D" w:rsidP="002960DD">
      <w:pPr>
        <w:pStyle w:val="PR2"/>
      </w:pPr>
      <w:r>
        <w:lastRenderedPageBreak/>
        <w:t>UL 325 – Norme de sécurité pour les opérateurs et systèmes de portes, rideaux, barrières, persiennes et fenêtres.</w:t>
      </w:r>
    </w:p>
    <w:p w14:paraId="469661FC" w14:textId="77777777" w:rsidR="00C92E07" w:rsidRPr="00E872ED" w:rsidRDefault="00C8126D" w:rsidP="002960DD">
      <w:pPr>
        <w:pStyle w:val="PR1"/>
        <w:rPr>
          <w:highlight w:val="yellow"/>
        </w:rPr>
      </w:pPr>
      <w:r>
        <w:rPr>
          <w:highlight w:val="yellow"/>
        </w:rPr>
        <w:t>[Association canadienne de normalisation (CSA).]</w:t>
      </w:r>
    </w:p>
    <w:p w14:paraId="1239D837" w14:textId="77777777" w:rsidR="00C92E07" w:rsidRPr="00E872ED" w:rsidRDefault="00C8126D" w:rsidP="002960DD">
      <w:pPr>
        <w:pStyle w:val="PR2"/>
        <w:rPr>
          <w:highlight w:val="yellow"/>
        </w:rPr>
      </w:pPr>
      <w:r>
        <w:rPr>
          <w:highlight w:val="yellow"/>
        </w:rPr>
        <w:t>CAN/CSA-C22.2 n° 247 – Opérateurs et systèmes pour portes, portails, draperies et persiennes.</w:t>
      </w:r>
    </w:p>
    <w:p w14:paraId="50287D63" w14:textId="77777777" w:rsidR="00C92E07" w:rsidRPr="006F1B31" w:rsidRDefault="00C8126D" w:rsidP="002960DD">
      <w:pPr>
        <w:pStyle w:val="PR1"/>
      </w:pPr>
      <w:r>
        <w:t>Association américaine des fabricants de portes automatiques (AAADM).</w:t>
      </w:r>
    </w:p>
    <w:p w14:paraId="3C5F1CC7" w14:textId="77777777" w:rsidR="00C92E07" w:rsidRPr="006F1B31" w:rsidRDefault="00C8126D" w:rsidP="002960DD">
      <w:pPr>
        <w:pStyle w:val="PR1"/>
      </w:pPr>
      <w:r>
        <w:t>Association américaine pour les essais et les matériaux (ASTM).</w:t>
      </w:r>
    </w:p>
    <w:p w14:paraId="27DFC1A8" w14:textId="77777777" w:rsidR="00C92E07" w:rsidRPr="006F1B31" w:rsidRDefault="00C8126D" w:rsidP="002960DD">
      <w:pPr>
        <w:pStyle w:val="PR2"/>
      </w:pPr>
      <w:r>
        <w:t>ASTM B221 Spécifications standard pour les barres, tiges, fils, profilés et tubes extrudés en aluminium et en alliages d'aluminium.</w:t>
      </w:r>
    </w:p>
    <w:p w14:paraId="4E1508D2" w14:textId="77777777" w:rsidR="00C92E07" w:rsidRDefault="00C8126D" w:rsidP="002960DD">
      <w:pPr>
        <w:pStyle w:val="PR2"/>
      </w:pPr>
      <w:r>
        <w:t>ASTM B209 Spécifications standard pour les tôles et plaques en aluminium et en alliages d'aluminium.</w:t>
      </w:r>
    </w:p>
    <w:p w14:paraId="1800425F" w14:textId="77777777" w:rsidR="00C92E07" w:rsidRPr="006F1B31" w:rsidRDefault="00C8126D" w:rsidP="002960DD">
      <w:pPr>
        <w:pStyle w:val="PR1"/>
      </w:pPr>
      <w:r>
        <w:t>Association américaine des fabricants de produits architecturaux (AAMA).</w:t>
      </w:r>
    </w:p>
    <w:p w14:paraId="5CFF076F" w14:textId="77777777" w:rsidR="00C92E07" w:rsidRPr="006F1B31" w:rsidRDefault="00C8126D" w:rsidP="002960DD">
      <w:pPr>
        <w:pStyle w:val="PR2"/>
      </w:pPr>
      <w:r>
        <w:t>AAMA 611 Spécifications volontaires pour l'aluminium architectural anodisé.</w:t>
      </w:r>
    </w:p>
    <w:p w14:paraId="3ECD0DC2" w14:textId="77777777" w:rsidR="00C92E07" w:rsidRPr="006F1B31" w:rsidRDefault="00C8126D" w:rsidP="002960DD">
      <w:pPr>
        <w:pStyle w:val="PR1"/>
      </w:pPr>
      <w:r>
        <w:t>Association nationale des fabricants de produits métalliques architecturaux (NAAMM).</w:t>
      </w:r>
    </w:p>
    <w:p w14:paraId="5B959C8C" w14:textId="77777777" w:rsidR="00C92E07" w:rsidRPr="006F1B31" w:rsidRDefault="00C8126D" w:rsidP="002960DD">
      <w:pPr>
        <w:pStyle w:val="PR2"/>
      </w:pPr>
      <w:r>
        <w:t>Manuel des finitions métalliques pour les produits métalliques architecturaux.</w:t>
      </w:r>
    </w:p>
    <w:p w14:paraId="15A3953B" w14:textId="77777777" w:rsidR="00C92E07" w:rsidRPr="006F1B31" w:rsidRDefault="00C8126D" w:rsidP="002960DD">
      <w:pPr>
        <w:pStyle w:val="PR1"/>
      </w:pPr>
      <w:r>
        <w:t>Conseil international du code du bâtiment (ICC).</w:t>
      </w:r>
    </w:p>
    <w:p w14:paraId="3FA0C144" w14:textId="77777777" w:rsidR="00C92E07" w:rsidRPr="00E872ED" w:rsidRDefault="00C8126D" w:rsidP="002960DD">
      <w:pPr>
        <w:pStyle w:val="PR2"/>
        <w:rPr>
          <w:highlight w:val="yellow"/>
        </w:rPr>
      </w:pPr>
      <w:r>
        <w:rPr>
          <w:highlight w:val="yellow"/>
        </w:rPr>
        <w:t>[IBC :  Code international du bâtiment.]</w:t>
      </w:r>
    </w:p>
    <w:p w14:paraId="15231676" w14:textId="77777777" w:rsidR="00C92E07" w:rsidRPr="00E872ED" w:rsidRDefault="00C8126D" w:rsidP="002960DD">
      <w:pPr>
        <w:pStyle w:val="PR2"/>
        <w:rPr>
          <w:highlight w:val="yellow"/>
        </w:rPr>
      </w:pPr>
      <w:r>
        <w:rPr>
          <w:highlight w:val="yellow"/>
        </w:rPr>
        <w:t>[CBC : Code du bâtiment de Californie.]</w:t>
      </w:r>
    </w:p>
    <w:p w14:paraId="7E216EA7" w14:textId="77777777" w:rsidR="00C92E07" w:rsidRPr="006F1B31" w:rsidRDefault="00C8126D" w:rsidP="002960DD">
      <w:pPr>
        <w:pStyle w:val="ART"/>
        <w:jc w:val="both"/>
      </w:pPr>
      <w:r>
        <w:t>DÉFINITIONS</w:t>
      </w:r>
    </w:p>
    <w:p w14:paraId="639EE8F0" w14:textId="77777777" w:rsidR="00C92E07" w:rsidRPr="006F1B31" w:rsidRDefault="00C8126D" w:rsidP="002960DD">
      <w:pPr>
        <w:pStyle w:val="PR1"/>
      </w:pPr>
      <w:r>
        <w:t>Dispositif d'activation : Dispositif qui, une fois actionné, envoie un signal électrique à l'opérateur de porte afin qu'il active le fonctionnement de celle-ci.</w:t>
      </w:r>
    </w:p>
    <w:p w14:paraId="625B2B28" w14:textId="77777777" w:rsidR="00C92E07" w:rsidRPr="006F1B31" w:rsidRDefault="00C8126D" w:rsidP="002960DD">
      <w:pPr>
        <w:pStyle w:val="PR2"/>
      </w:pPr>
      <w:r>
        <w:t>Action consciente :</w:t>
      </w:r>
      <w:r>
        <w:tab/>
        <w:t>Action consciente visant à initier l’ouverture d’une porte motorisée au moyen de méthodes acceptables, notamment des commutateurs muraux tels que les plaques poussoirs, ainsi que des dispositifs de contrôle d’accès tels que les claviers, les lecteurs de cartes et les commutateurs à clé.</w:t>
      </w:r>
    </w:p>
    <w:p w14:paraId="5E9393EB" w14:textId="77777777" w:rsidR="00C92E07" w:rsidRPr="006F1B31" w:rsidRDefault="00C8126D" w:rsidP="002960DD">
      <w:pPr>
        <w:pStyle w:val="PR1"/>
      </w:pPr>
      <w:r>
        <w:t>Dispositif de sécurité : Dispositif détectant la présence d'un objet ou d'une personne dans une zone où un contact pourrait se produire et émettant un signal pour arrêter le mouvement de la porte.</w:t>
      </w:r>
    </w:p>
    <w:p w14:paraId="5E9E77E9" w14:textId="77777777" w:rsidR="00C92E07" w:rsidRPr="006F1B31" w:rsidRDefault="00C8126D" w:rsidP="002960DD">
      <w:pPr>
        <w:pStyle w:val="ART"/>
        <w:jc w:val="both"/>
      </w:pPr>
      <w:r>
        <w:t>EXIGENCES DE PERFORMANCE</w:t>
      </w:r>
    </w:p>
    <w:p w14:paraId="006B01CF" w14:textId="77777777" w:rsidR="00C92E07" w:rsidRPr="006F1B31" w:rsidRDefault="00C8126D" w:rsidP="002960DD">
      <w:pPr>
        <w:pStyle w:val="PR1"/>
      </w:pPr>
      <w:r>
        <w:t>Conformité aux dispositions suivantes :</w:t>
      </w:r>
    </w:p>
    <w:p w14:paraId="243125B6" w14:textId="77777777" w:rsidR="00C92E07" w:rsidRPr="006F1B31" w:rsidRDefault="00C8126D" w:rsidP="002960DD">
      <w:pPr>
        <w:pStyle w:val="PR2"/>
      </w:pPr>
      <w:r>
        <w:lastRenderedPageBreak/>
        <w:t>ANSI/BHMA A156.10 – Norme nationale américaine pour les portes piétonnes à commande électrique.</w:t>
      </w:r>
    </w:p>
    <w:p w14:paraId="0C8083D9" w14:textId="77777777" w:rsidR="00C92E07" w:rsidRPr="006F1B31" w:rsidRDefault="00C8126D" w:rsidP="002960DD">
      <w:pPr>
        <w:pStyle w:val="PR2"/>
      </w:pPr>
      <w:r>
        <w:t>Homologué UL 325.</w:t>
      </w:r>
    </w:p>
    <w:p w14:paraId="394EDACF" w14:textId="77777777" w:rsidR="00C92E07" w:rsidRPr="006F1B31" w:rsidRDefault="00C8126D" w:rsidP="002960DD">
      <w:pPr>
        <w:pStyle w:val="PR1"/>
      </w:pPr>
      <w:r>
        <w:t>Les équipements pour portes automatiques conviennent à un trafic piétonnier moyen à intense.</w:t>
      </w:r>
    </w:p>
    <w:p w14:paraId="212D1786" w14:textId="77777777" w:rsidR="00C92E07" w:rsidRPr="006F1B31" w:rsidRDefault="00C8126D" w:rsidP="002960DD">
      <w:pPr>
        <w:pStyle w:val="PR1"/>
      </w:pPr>
      <w:r>
        <w:t>Exigences relatives à la force de coincement :</w:t>
      </w:r>
    </w:p>
    <w:p w14:paraId="59EC2314" w14:textId="77777777" w:rsidR="00C92E07" w:rsidRPr="006F1B31" w:rsidRDefault="00C8126D" w:rsidP="002960DD">
      <w:pPr>
        <w:pStyle w:val="PR2"/>
      </w:pPr>
      <w:r>
        <w:t>Portes coulissantes à commande électrique : Une force maximale de 30 lbf (133 N) est requise pour empêcher la fermeture d’une porte immobilisée.</w:t>
      </w:r>
    </w:p>
    <w:p w14:paraId="530AA755" w14:textId="77777777" w:rsidR="00C92E07" w:rsidRDefault="00C8126D" w:rsidP="002960DD">
      <w:pPr>
        <w:pStyle w:val="PR2"/>
      </w:pPr>
      <w:r>
        <w:t>Les portes coulissantes équipées d'un dispositif de dégagement doivent nécessiter une force maximale de 50 lbf (222 N). Cette force doit être appliquée à 1 pouce (25 mm) du bord avant du montant de la serrure. Cela permet au panneau de dégagement de s'ouvrir.</w:t>
      </w:r>
    </w:p>
    <w:p w14:paraId="5AC24563" w14:textId="77777777" w:rsidR="00C92E07" w:rsidRPr="006F1B31" w:rsidRDefault="00C8126D" w:rsidP="002960DD">
      <w:pPr>
        <w:pStyle w:val="ART"/>
        <w:jc w:val="both"/>
      </w:pPr>
      <w:r>
        <w:t>DOCUMENTS À FOURNIR</w:t>
      </w:r>
    </w:p>
    <w:p w14:paraId="69ECDB2D" w14:textId="77777777" w:rsidR="00C92E07" w:rsidRPr="006F1B31" w:rsidRDefault="00C8126D" w:rsidP="002960DD">
      <w:pPr>
        <w:pStyle w:val="PR1"/>
      </w:pPr>
      <w:r>
        <w:t>Caractéristiques du produit :  Fiches techniques du fabricant comprenant les détails d'installation, la description des matériaux, les dimensions des composants et profilés individuels, la fabrication, les descriptions de fonctionnement et les finitions.</w:t>
      </w:r>
    </w:p>
    <w:p w14:paraId="3EA142FC" w14:textId="77777777" w:rsidR="00C92E07" w:rsidRPr="006F1B31" w:rsidRDefault="00C8126D" w:rsidP="002960DD">
      <w:pPr>
        <w:pStyle w:val="PR1"/>
      </w:pPr>
      <w:r>
        <w:t>Dessins d'atelier :  Les plans d'atelier du fabricant doivent être fournis, y compris les élévations, les coupes et les détails, indiquant les dimensions, les matériaux et la fabrication des portes, des cadres, des panneaux latéraux, du mécanisme d'entraînement, du dispositif de commande par capteur de mouvement/de présence, des ancrages, de la quincaillerie, de la finition, des options et des accessoires.</w:t>
      </w:r>
    </w:p>
    <w:p w14:paraId="4B939E21" w14:textId="77777777" w:rsidR="00C92E07" w:rsidRPr="006F1B31" w:rsidRDefault="00C8126D" w:rsidP="002960DD">
      <w:pPr>
        <w:pStyle w:val="PR1"/>
      </w:pPr>
      <w:r>
        <w:t>Échantillons : Joignez les échantillons de finition en aluminium fournis par le fabricant.</w:t>
      </w:r>
    </w:p>
    <w:p w14:paraId="792636FF" w14:textId="77777777" w:rsidR="00826C15" w:rsidRPr="006F1B31" w:rsidRDefault="00C8126D" w:rsidP="002960DD">
      <w:pPr>
        <w:pStyle w:val="PR1"/>
      </w:pPr>
      <w:bookmarkStart w:id="0" w:name="_Hlk182319547"/>
      <w:r>
        <w:t>Soumissions informatives :  Renseignements sur les produits du fabricant et crédits du programme de durabilité applicables pouvant contribuer à la certification LEED du projet.</w:t>
      </w:r>
    </w:p>
    <w:p w14:paraId="4A18BAC4" w14:textId="77777777" w:rsidR="00826C15" w:rsidRDefault="00C8126D" w:rsidP="002960DD">
      <w:pPr>
        <w:pStyle w:val="PR2"/>
      </w:pPr>
      <w:r>
        <w:t>Crédit MR 4 : Certificat du constructeur ou du fabricant indiquant le pourcentage en poids de matériaux recyclés après utilisation et avant utilisation pour chaque produit spécifié dans la présente section.</w:t>
      </w:r>
    </w:p>
    <w:p w14:paraId="31C1BADC" w14:textId="77777777" w:rsidR="00826C15" w:rsidRDefault="00C8126D" w:rsidP="002960DD">
      <w:pPr>
        <w:pStyle w:val="PR2"/>
      </w:pPr>
      <w:r>
        <w:t>EPD :  Déclaration environnementale de produit du fabricant.</w:t>
      </w:r>
    </w:p>
    <w:p w14:paraId="702A529A" w14:textId="77777777" w:rsidR="002740D4" w:rsidRDefault="00C8126D" w:rsidP="002960DD">
      <w:pPr>
        <w:pStyle w:val="PR2"/>
      </w:pPr>
      <w:r>
        <w:t>ISO 14001 :  Les normes de gestion environnementale visent à gérer les risques environnementaux, à réduire les déchets, à améliorer la durabilité et à respecter la réglementation environnementale.</w:t>
      </w:r>
    </w:p>
    <w:bookmarkEnd w:id="0"/>
    <w:p w14:paraId="22AFBF21" w14:textId="77777777" w:rsidR="00C92E07" w:rsidRDefault="00C8126D" w:rsidP="002960DD">
      <w:pPr>
        <w:pStyle w:val="PR1"/>
      </w:pPr>
      <w:r>
        <w:t>Rapports de terrain du fabricant :  Après l'installation, veuillez présenter les rapports de terrain du fabricant établis par un technicien certifié AAADM, attestant de l'inspection et de la conformité des portes à la norme ANSI/BHMA A156.10.</w:t>
      </w:r>
    </w:p>
    <w:p w14:paraId="4B441F18" w14:textId="77777777" w:rsidR="00C92E07" w:rsidRPr="006F1B31" w:rsidRDefault="00C8126D" w:rsidP="002960DD">
      <w:pPr>
        <w:pStyle w:val="PR1"/>
        <w:rPr>
          <w:rStyle w:val="Threecharacter"/>
          <w:rFonts w:ascii="Arial" w:hAnsi="Arial" w:cs="Arial"/>
          <w:sz w:val="22"/>
          <w:szCs w:val="22"/>
        </w:rPr>
      </w:pPr>
      <w:r>
        <w:lastRenderedPageBreak/>
        <w:t xml:space="preserve">Manuels d'utilisation et d'entretien :  Veuillez fournir les manuels d'utilisation et d'entretien des fabricants concernant chaque élément composant l'installation complète de l'ouverture de porte, conformément aux exigences de la Division 01, « Soumissions de clôture ».  </w:t>
      </w:r>
      <w:r>
        <w:rPr>
          <w:rStyle w:val="Threecharacter"/>
          <w:rFonts w:ascii="Arial" w:hAnsi="Arial"/>
          <w:sz w:val="22"/>
        </w:rPr>
        <w:t>L'ensemble doit inclure le nom, l'adresse et les coordonnées des fabricants fournissant les portes d'entrée ainsi que celles de leurs représentants de service les plus proches.  La liste des pièces de rechange doit figurer sur les exemplaires définitifs remis après la fin des essais d'installation.</w:t>
      </w:r>
    </w:p>
    <w:p w14:paraId="0F69A7D9" w14:textId="77777777" w:rsidR="00C92E07" w:rsidRPr="006F1B31" w:rsidRDefault="00C8126D" w:rsidP="002960DD">
      <w:pPr>
        <w:pStyle w:val="PR1"/>
        <w:rPr>
          <w:rStyle w:val="Threecharacter"/>
          <w:rFonts w:ascii="Arial" w:hAnsi="Arial" w:cs="Arial"/>
          <w:sz w:val="22"/>
          <w:szCs w:val="22"/>
        </w:rPr>
      </w:pPr>
      <w:r>
        <w:t>Garanties et entretien :  Garanties spéciales et contrats d'entretien spécifiés dans la présente section.</w:t>
      </w:r>
    </w:p>
    <w:p w14:paraId="6358F849" w14:textId="77777777" w:rsidR="00C92E07" w:rsidRPr="006F1B31" w:rsidRDefault="00C8126D" w:rsidP="002960DD">
      <w:pPr>
        <w:pStyle w:val="ART"/>
        <w:jc w:val="both"/>
      </w:pPr>
      <w:r>
        <w:t>ASSURANCE QUALITÉ</w:t>
      </w:r>
    </w:p>
    <w:p w14:paraId="6739FB28" w14:textId="77777777" w:rsidR="00C92E07" w:rsidRPr="006F1B31" w:rsidRDefault="00C8126D" w:rsidP="002960DD">
      <w:pPr>
        <w:pStyle w:val="PR1"/>
      </w:pPr>
      <w:r>
        <w:t>Qualifications des fabricants :  Sélectionnez des fabricants reconnus possédant un minimum de 10 ans d’expérience attestée dans la production de portes et d’équipements comparables à ceux spécifiés pour ce projet, et ayant fait preuve d’une performance fiable en service.  Le fabricant doit être titulaire d'un certificat d'entreprise délivré par l'AAADM.</w:t>
      </w:r>
    </w:p>
    <w:p w14:paraId="36652A4A" w14:textId="77777777" w:rsidR="00C92E07" w:rsidRPr="006F1B31" w:rsidRDefault="00C8126D" w:rsidP="002960DD">
      <w:pPr>
        <w:pStyle w:val="PR1"/>
      </w:pPr>
      <w:r>
        <w:t>Qualifications des installateurs :  Des installateurs formés par les principaux fabricants des produits, ayant au moins trois ans d'expérience confirmée dans l'installation et la maintenance d'équipements similaires, tant en termes de matériaux, de conception que d'ampleur, à ceux prévus pour ce projet, et dont les travaux ont abouti à des installations ayant fait leurs preuves en service.</w:t>
      </w:r>
    </w:p>
    <w:p w14:paraId="62141CEA" w14:textId="77777777" w:rsidR="00C92E07" w:rsidRPr="006F1B31" w:rsidRDefault="00C8126D" w:rsidP="002960DD">
      <w:pPr>
        <w:pStyle w:val="PR1"/>
      </w:pPr>
      <w:r>
        <w:t>Qualifications des inspecteurs certifiés : Certifiés par l’AAADM.</w:t>
      </w:r>
    </w:p>
    <w:p w14:paraId="38A63A83" w14:textId="77777777" w:rsidR="00C92E07" w:rsidRPr="006F1B31" w:rsidRDefault="00C8126D" w:rsidP="002960DD">
      <w:pPr>
        <w:pStyle w:val="PR1"/>
      </w:pPr>
      <w:r>
        <w:t>Limites liées à la source pour les entrées automatiques :  À moins d'indication contraire, tous les types de portes, de cadres, de mécanismes d'entraînement et de capteurs spécifiés dans la présente section doivent provenir d'un seul et même fournisseur, c'est-à-dire du même fabricant.</w:t>
      </w:r>
    </w:p>
    <w:p w14:paraId="5C1F96F2" w14:textId="77777777" w:rsidR="00C92E07" w:rsidRPr="006F1B31" w:rsidRDefault="00C8126D" w:rsidP="002960DD">
      <w:pPr>
        <w:pStyle w:val="PR1"/>
      </w:pPr>
      <w:r>
        <w:t>Norme relative aux portes piétonnes à commande électrique : ANSI/BHMA A156.10 (version actuelle).</w:t>
      </w:r>
    </w:p>
    <w:p w14:paraId="42EE9635" w14:textId="77777777" w:rsidR="00C92E07" w:rsidRPr="006F1B31" w:rsidRDefault="00C8126D" w:rsidP="002960DD">
      <w:pPr>
        <w:pStyle w:val="PR1"/>
      </w:pPr>
      <w:r>
        <w:t>Exigences requises pour les portes de sortie de secours : S'assurer de la conformité aux exigences des autorités compétentes pour les portes d'entrée automatiques servant de voie d'évacuation obligatoire.</w:t>
      </w:r>
    </w:p>
    <w:p w14:paraId="5605565B" w14:textId="77777777" w:rsidR="00C92E07" w:rsidRPr="006F1B31" w:rsidRDefault="00C8126D" w:rsidP="002960DD">
      <w:pPr>
        <w:pStyle w:val="ART"/>
        <w:jc w:val="both"/>
      </w:pPr>
      <w:r>
        <w:t>CONDITIONS DU PROJET</w:t>
      </w:r>
    </w:p>
    <w:p w14:paraId="25CEB880" w14:textId="77777777" w:rsidR="00C92E07" w:rsidRPr="006F1B31" w:rsidRDefault="00C8126D" w:rsidP="002960DD">
      <w:pPr>
        <w:pStyle w:val="PR1"/>
      </w:pPr>
      <w:r>
        <w:t>Mesures sur site :  Vérifier les dimensions réelles des ouvertures destinées à recevoir les entrées automatiques au moyen de mesures sur le chantier avant la fabrication, et les indiquer sur les dessins d’atelier.</w:t>
      </w:r>
    </w:p>
    <w:p w14:paraId="0688DF5E" w14:textId="77777777" w:rsidR="00C92E07" w:rsidRPr="006F1B31" w:rsidRDefault="00C8126D" w:rsidP="002960DD">
      <w:pPr>
        <w:pStyle w:val="ART"/>
        <w:jc w:val="both"/>
      </w:pPr>
      <w:r>
        <w:lastRenderedPageBreak/>
        <w:t>COORDINATION</w:t>
      </w:r>
    </w:p>
    <w:p w14:paraId="4BEDDCF5" w14:textId="77777777" w:rsidR="00C92E07" w:rsidRPr="006F1B31" w:rsidRDefault="00C8126D" w:rsidP="002960DD">
      <w:pPr>
        <w:pStyle w:val="PR1"/>
      </w:pPr>
      <w:r>
        <w:t>Coordonner les dimensions et l'emplacement des évidements dans les sols en béton pour les rails et les seuils encastrés, le cas échéant. Les travaux de béton sont spécifiés dans la Division 03.</w:t>
      </w:r>
    </w:p>
    <w:p w14:paraId="7F428B9A" w14:textId="77777777" w:rsidR="00C92E07" w:rsidRPr="006F1B31" w:rsidRDefault="00C8126D" w:rsidP="002960DD">
      <w:pPr>
        <w:pStyle w:val="PR1"/>
      </w:pPr>
      <w:r>
        <w:t>Pré-installation du système électrique : Coordonner la conception et l'installation des entrées automatiques, y compris les raccordements à l'alimentation électrique et au système de contrôle d'accès, le cas échéant.</w:t>
      </w:r>
    </w:p>
    <w:p w14:paraId="36F282AA" w14:textId="77777777" w:rsidR="00C92E07" w:rsidRPr="006F1B31" w:rsidRDefault="00C8126D" w:rsidP="002960DD">
      <w:pPr>
        <w:pStyle w:val="ART"/>
        <w:jc w:val="both"/>
      </w:pPr>
      <w:r>
        <w:t>GARANTIE</w:t>
      </w:r>
    </w:p>
    <w:p w14:paraId="108B8702" w14:textId="77777777" w:rsidR="00C92E07" w:rsidRPr="006F1B31" w:rsidRDefault="00C8126D" w:rsidP="002960DD">
      <w:pPr>
        <w:pStyle w:val="PR1"/>
      </w:pPr>
      <w:r>
        <w:t xml:space="preserve">Garantie générale :  Se reporter à la Division 01, Exigences générales.  Les garanties particulières précisées au présent article ne privent pas le propriétaire des autres droits auxquels il peut avoir droit en vertu d’autres dispositions des documents contractuels. Elles s’ajoutent aux autres garanties fournies par l’entrepreneur conformément aux exigences des documents contractuels et y sont </w:t>
      </w:r>
      <w:proofErr w:type="gramStart"/>
      <w:r>
        <w:t>concurrentes..</w:t>
      </w:r>
      <w:proofErr w:type="gramEnd"/>
    </w:p>
    <w:p w14:paraId="53C703A2" w14:textId="77777777" w:rsidR="00C92E07" w:rsidRPr="006F1B31" w:rsidRDefault="00C8126D" w:rsidP="002960DD">
      <w:pPr>
        <w:pStyle w:val="PR1"/>
      </w:pPr>
      <w:r>
        <w:t>Les entrées automatiques doivent être exemptes de tout défaut de matériau et de fabrication pendant une période d'un (1) an à compter de la date d'achèvement substantiel.</w:t>
      </w:r>
    </w:p>
    <w:p w14:paraId="14E348A1" w14:textId="77777777" w:rsidR="00C92E07" w:rsidRPr="006F1B31" w:rsidRDefault="00C8126D" w:rsidP="002960DD">
      <w:pPr>
        <w:pStyle w:val="PR1"/>
      </w:pPr>
      <w:r>
        <w:t xml:space="preserve">Au cours de la période de garantie, un technicien formé en usine doit effectuer l'entretien et procéder aux réparations. Un contrôle doit être effectué après chaque réglage ou réparation. </w:t>
      </w:r>
    </w:p>
    <w:p w14:paraId="6E65F5BE" w14:textId="77777777" w:rsidR="00C92E07" w:rsidRPr="006F1B31" w:rsidRDefault="00C8126D" w:rsidP="002960DD">
      <w:pPr>
        <w:pStyle w:val="PR1"/>
      </w:pPr>
      <w:r>
        <w:t>Toute intervention sous garantie, y compris, sans s'y limiter, le service d'urgence, doit être effectuée pendant les heures normales de travail.</w:t>
      </w:r>
    </w:p>
    <w:p w14:paraId="58916F23" w14:textId="77777777" w:rsidR="00C92E07" w:rsidRPr="006F1B31" w:rsidRDefault="00C8126D" w:rsidP="002960DD">
      <w:pPr>
        <w:pStyle w:val="PR1"/>
      </w:pPr>
      <w:r>
        <w:t xml:space="preserve">Il incombe au Fabricant de mettre en place une procédure de dépannage disponible 24 heures sur 24, 7 jours sur 7, pour le service d'intervention d'urgence. </w:t>
      </w:r>
    </w:p>
    <w:p w14:paraId="5E6167F5" w14:textId="77777777" w:rsidR="00C92E07" w:rsidRPr="006F1B31" w:rsidRDefault="00C8126D" w:rsidP="002960DD">
      <w:pPr>
        <w:pStyle w:val="PRT"/>
        <w:jc w:val="both"/>
        <w:rPr>
          <w:rFonts w:cs="Arial"/>
          <w:szCs w:val="22"/>
        </w:rPr>
      </w:pPr>
      <w:r>
        <w:t>PRODUITS</w:t>
      </w:r>
    </w:p>
    <w:p w14:paraId="59DDFE77" w14:textId="77777777" w:rsidR="00C92E07" w:rsidRPr="006F1B31" w:rsidRDefault="00C8126D" w:rsidP="002960DD">
      <w:pPr>
        <w:pStyle w:val="ART"/>
        <w:jc w:val="both"/>
      </w:pPr>
      <w:r>
        <w:t>FABRICANT</w:t>
      </w:r>
    </w:p>
    <w:p w14:paraId="3477FA9D" w14:textId="77777777" w:rsidR="000645EC" w:rsidRDefault="00C8126D" w:rsidP="002960DD">
      <w:pPr>
        <w:pStyle w:val="PR1"/>
      </w:pPr>
      <w:r>
        <w:t>Fabricant :  ASSA ABLOY Entrance Systems, 1900 Airport Road, Monroe, NC 28110. Numéro gratuit : (877) SPEC-123.  Fax (</w:t>
      </w:r>
      <w:proofErr w:type="gramStart"/>
      <w:r>
        <w:t>704 )</w:t>
      </w:r>
      <w:proofErr w:type="gramEnd"/>
      <w:r>
        <w:t xml:space="preserve"> 290- 5555 Site web </w:t>
      </w:r>
      <w:hyperlink r:id="rId8" w:history="1">
        <w:r>
          <w:rPr>
            <w:rStyle w:val="Hyperlink"/>
          </w:rPr>
          <w:t>www.assaabloyentrance.us</w:t>
        </w:r>
      </w:hyperlink>
      <w:r>
        <w:t xml:space="preserve"> contact : </w:t>
      </w:r>
      <w:hyperlink r:id="rId9" w:history="1">
        <w:r>
          <w:rPr>
            <w:rStyle w:val="Hyperlink"/>
          </w:rPr>
          <w:t>specdesk.na.entrance@assaabloy.com</w:t>
        </w:r>
      </w:hyperlink>
    </w:p>
    <w:p w14:paraId="79D63BA3" w14:textId="77777777" w:rsidR="000645EC" w:rsidRPr="00E75531" w:rsidRDefault="00C8126D" w:rsidP="002960DD">
      <w:pPr>
        <w:pStyle w:val="PRT"/>
        <w:numPr>
          <w:ilvl w:val="0"/>
          <w:numId w:val="0"/>
        </w:numPr>
        <w:spacing w:before="120" w:after="120"/>
        <w:jc w:val="both"/>
        <w:rPr>
          <w:b/>
          <w:i/>
          <w:highlight w:val="lightGray"/>
          <w:u w:val="single"/>
        </w:rPr>
      </w:pPr>
      <w:r>
        <w:rPr>
          <w:b/>
          <w:i/>
          <w:highlight w:val="lightGray"/>
          <w:u w:val="single"/>
        </w:rPr>
        <w:t>REMARQUE :  Entrer les coordonnées du commercial en charge de ce projet</w:t>
      </w:r>
    </w:p>
    <w:p w14:paraId="2ABADDEB" w14:textId="77777777" w:rsidR="000645EC" w:rsidRPr="00974029" w:rsidRDefault="00C8126D" w:rsidP="002960DD">
      <w:pPr>
        <w:pStyle w:val="PR2"/>
        <w:numPr>
          <w:ilvl w:val="0"/>
          <w:numId w:val="0"/>
        </w:numPr>
        <w:spacing w:before="240"/>
        <w:ind w:left="1440" w:hanging="576"/>
        <w:rPr>
          <w:rStyle w:val="Hyperlink"/>
          <w:color w:val="auto"/>
          <w:highlight w:val="yellow"/>
          <w:u w:val="none"/>
        </w:rPr>
      </w:pPr>
      <w:r>
        <w:rPr>
          <w:highlight w:val="yellow"/>
        </w:rPr>
        <w:t>Votre commercial</w:t>
      </w:r>
    </w:p>
    <w:p w14:paraId="5DE04408" w14:textId="77777777" w:rsidR="000645EC" w:rsidRPr="00974029" w:rsidRDefault="00C8126D" w:rsidP="002960DD">
      <w:pPr>
        <w:pStyle w:val="PR2"/>
        <w:numPr>
          <w:ilvl w:val="0"/>
          <w:numId w:val="0"/>
        </w:numPr>
        <w:ind w:left="1440" w:hanging="576"/>
        <w:rPr>
          <w:rStyle w:val="Hyperlink"/>
          <w:color w:val="auto"/>
          <w:highlight w:val="yellow"/>
          <w:u w:val="none"/>
        </w:rPr>
      </w:pPr>
      <w:r>
        <w:rPr>
          <w:highlight w:val="yellow"/>
        </w:rPr>
        <w:t xml:space="preserve">Téléphone portable </w:t>
      </w:r>
      <w:proofErr w:type="gramStart"/>
      <w:r>
        <w:rPr>
          <w:highlight w:val="yellow"/>
        </w:rPr>
        <w:t>:  (</w:t>
      </w:r>
      <w:proofErr w:type="gramEnd"/>
      <w:r>
        <w:rPr>
          <w:highlight w:val="yellow"/>
        </w:rPr>
        <w:t>xxx) xxx-xxxx</w:t>
      </w:r>
    </w:p>
    <w:p w14:paraId="7F9EC191" w14:textId="77777777" w:rsidR="00C92E07" w:rsidRPr="006F1B31" w:rsidRDefault="00C8126D" w:rsidP="002960DD">
      <w:pPr>
        <w:pStyle w:val="PR2"/>
        <w:numPr>
          <w:ilvl w:val="0"/>
          <w:numId w:val="0"/>
        </w:numPr>
        <w:ind w:left="1440" w:hanging="576"/>
      </w:pPr>
      <w:proofErr w:type="gramStart"/>
      <w:r>
        <w:rPr>
          <w:highlight w:val="yellow"/>
        </w:rPr>
        <w:t>E-mail</w:t>
      </w:r>
      <w:proofErr w:type="gramEnd"/>
      <w:r>
        <w:rPr>
          <w:highlight w:val="yellow"/>
        </w:rPr>
        <w:t xml:space="preserve"> :  </w:t>
      </w:r>
      <w:hyperlink r:id="rId10" w:history="1">
        <w:r>
          <w:rPr>
            <w:rStyle w:val="Hyperlink"/>
            <w:highlight w:val="yellow"/>
          </w:rPr>
          <w:t>x@assaabloy.com</w:t>
        </w:r>
      </w:hyperlink>
    </w:p>
    <w:p w14:paraId="0874CFA4" w14:textId="77777777" w:rsidR="00B47AEE" w:rsidRPr="006F1B31" w:rsidRDefault="00C8126D" w:rsidP="002960DD">
      <w:pPr>
        <w:pStyle w:val="PRT"/>
        <w:numPr>
          <w:ilvl w:val="0"/>
          <w:numId w:val="0"/>
        </w:numPr>
        <w:spacing w:before="120" w:after="120"/>
        <w:jc w:val="both"/>
        <w:rPr>
          <w:rFonts w:cs="Arial"/>
          <w:b/>
          <w:i/>
          <w:szCs w:val="22"/>
          <w:u w:val="single"/>
        </w:rPr>
      </w:pPr>
      <w:r>
        <w:rPr>
          <w:b/>
          <w:i/>
          <w:highlight w:val="lightGray"/>
          <w:u w:val="single"/>
        </w:rPr>
        <w:lastRenderedPageBreak/>
        <w:t>REMARQUE :  Modifiez la clause de substitution suivante conformément aux exigences du projet.  Sélectionner l'élément « B » ou « C »</w:t>
      </w:r>
    </w:p>
    <w:p w14:paraId="044E72B7" w14:textId="77777777" w:rsidR="00C92E07" w:rsidRPr="00162DEF" w:rsidRDefault="00C8126D" w:rsidP="002960DD">
      <w:pPr>
        <w:pStyle w:val="PR1"/>
        <w:rPr>
          <w:highlight w:val="yellow"/>
        </w:rPr>
      </w:pPr>
      <w:r>
        <w:rPr>
          <w:highlight w:val="yellow"/>
        </w:rPr>
        <w:t>[Substitutions :  Toute demande de substitution et d'homologation de produit conforme au cahier des charges doit être soumise par écrit et respecter les procédures décrites dans la section « Procédures de substitution » de Division 1.  Les demandes sont approuvées à la discrétion de l'architecte, du propriétaire et de leurs consultants désignés.]</w:t>
      </w:r>
    </w:p>
    <w:p w14:paraId="5093896E" w14:textId="77777777" w:rsidR="00C92E07" w:rsidRPr="00162DEF" w:rsidRDefault="00C8126D" w:rsidP="002960DD">
      <w:pPr>
        <w:pStyle w:val="PR1"/>
        <w:rPr>
          <w:highlight w:val="yellow"/>
        </w:rPr>
      </w:pPr>
      <w:r>
        <w:rPr>
          <w:highlight w:val="yellow"/>
        </w:rPr>
        <w:t>[Substitutions :  Non autorisé.]</w:t>
      </w:r>
    </w:p>
    <w:p w14:paraId="470C2E95" w14:textId="77777777" w:rsidR="00C92E07" w:rsidRPr="006F1B31" w:rsidRDefault="00C8126D" w:rsidP="002960DD">
      <w:pPr>
        <w:pStyle w:val="ART"/>
        <w:jc w:val="both"/>
      </w:pPr>
      <w:r>
        <w:t>PORTES COULISSANTES AUTOMATIQUES</w:t>
      </w:r>
    </w:p>
    <w:p w14:paraId="3963DA01" w14:textId="77777777" w:rsidR="00C92E07" w:rsidRPr="006F1B31" w:rsidRDefault="00C8126D" w:rsidP="002960DD">
      <w:pPr>
        <w:pStyle w:val="PR1"/>
      </w:pPr>
      <w:r>
        <w:t>Système de porte coulissante automatique comprenant les éléments suivants :</w:t>
      </w:r>
    </w:p>
    <w:p w14:paraId="46AF23F7" w14:textId="77777777" w:rsidR="00C92E07" w:rsidRPr="006F1B31" w:rsidRDefault="00C8126D" w:rsidP="002960DD">
      <w:pPr>
        <w:pStyle w:val="PR2"/>
      </w:pPr>
      <w:r>
        <w:t>Panneaux coulissants, vantaux latéraux et cadre en aluminium.</w:t>
      </w:r>
    </w:p>
    <w:p w14:paraId="48039F22" w14:textId="77777777" w:rsidR="00C92E07" w:rsidRPr="006F1B31" w:rsidRDefault="00C8126D" w:rsidP="002960DD">
      <w:pPr>
        <w:pStyle w:val="PR2"/>
      </w:pPr>
      <w:r>
        <w:t>Moteur électromécanique encastré dans la partie supérieure.</w:t>
      </w:r>
    </w:p>
    <w:p w14:paraId="4DFCC47A" w14:textId="77777777" w:rsidR="00C92E07" w:rsidRDefault="00C8126D" w:rsidP="002960DD">
      <w:pPr>
        <w:pStyle w:val="PR2"/>
      </w:pPr>
      <w:r>
        <w:t>Boîtier du moteur, système de guidage et ensembles de chariots.</w:t>
      </w:r>
    </w:p>
    <w:p w14:paraId="750A5016" w14:textId="77777777" w:rsidR="00B16F7E" w:rsidRDefault="00C8126D" w:rsidP="002960DD">
      <w:pPr>
        <w:pStyle w:val="PR2"/>
      </w:pPr>
      <w:r>
        <w:t>Commandes et accessoires nécessaires à une installation complète.</w:t>
      </w:r>
    </w:p>
    <w:p w14:paraId="27AF5F0B" w14:textId="77777777" w:rsidR="00E7720F" w:rsidRDefault="00C8126D" w:rsidP="002960DD">
      <w:pPr>
        <w:pStyle w:val="PRT"/>
        <w:numPr>
          <w:ilvl w:val="0"/>
          <w:numId w:val="0"/>
        </w:numPr>
        <w:spacing w:before="120" w:after="120"/>
        <w:jc w:val="both"/>
        <w:rPr>
          <w:b/>
          <w:i/>
          <w:u w:val="single"/>
        </w:rPr>
      </w:pPr>
      <w:r>
        <w:rPr>
          <w:b/>
          <w:i/>
          <w:highlight w:val="lightGray"/>
          <w:u w:val="single"/>
        </w:rPr>
        <w:t>REMARQUE :  Configurez les portes selon les besoins du projet</w:t>
      </w:r>
    </w:p>
    <w:p w14:paraId="0DDDF700" w14:textId="77777777" w:rsidR="00B16F7E" w:rsidRPr="008462CD" w:rsidRDefault="00C8126D" w:rsidP="002960DD">
      <w:pPr>
        <w:pStyle w:val="PR1"/>
      </w:pPr>
      <w:r>
        <w:t xml:space="preserve">Entrée automatique coulissante </w:t>
      </w:r>
      <w:bookmarkStart w:id="1" w:name="_Hlk132107355"/>
      <w:r>
        <w:t>ASSA ABLOY</w:t>
      </w:r>
      <w:bookmarkEnd w:id="1"/>
      <w:r>
        <w:t xml:space="preserve"> SL500 CGL avec panneaux entièrement vitrés (base de conception) :</w:t>
      </w:r>
    </w:p>
    <w:p w14:paraId="175971DA" w14:textId="77777777" w:rsidR="00B16F7E" w:rsidRPr="006F1B31" w:rsidRDefault="00C8126D" w:rsidP="002960DD">
      <w:pPr>
        <w:pStyle w:val="PR2"/>
        <w:rPr>
          <w:highlight w:val="yellow"/>
        </w:rPr>
      </w:pPr>
      <w:r>
        <w:rPr>
          <w:highlight w:val="yellow"/>
        </w:rPr>
        <w:t xml:space="preserve">[Système de porte coulissante à un panneau, à dégagement complet.]  </w:t>
      </w:r>
    </w:p>
    <w:p w14:paraId="5D716A2C" w14:textId="77777777" w:rsidR="00B16F7E" w:rsidRPr="006F1B31" w:rsidRDefault="00C8126D" w:rsidP="002960DD">
      <w:pPr>
        <w:pStyle w:val="PR3"/>
        <w:jc w:val="both"/>
      </w:pPr>
      <w:r>
        <w:t>Configuration :  Unité à un seul battant, deux panneaux de largeur égale, comprenant un vantail opérable et un panneau latéral.</w:t>
      </w:r>
    </w:p>
    <w:p w14:paraId="6302F9BE" w14:textId="77777777" w:rsidR="00B16F7E" w:rsidRPr="006F1B31" w:rsidRDefault="00C8126D" w:rsidP="002960DD">
      <w:pPr>
        <w:pStyle w:val="PR3"/>
        <w:jc w:val="both"/>
      </w:pPr>
      <w:r>
        <w:t xml:space="preserve">Sens de circulation </w:t>
      </w:r>
      <w:proofErr w:type="gramStart"/>
      <w:r>
        <w:t xml:space="preserve">:  </w:t>
      </w:r>
      <w:r>
        <w:rPr>
          <w:highlight w:val="yellow"/>
        </w:rPr>
        <w:t>[</w:t>
      </w:r>
      <w:proofErr w:type="gramEnd"/>
      <w:r>
        <w:rPr>
          <w:highlight w:val="yellow"/>
        </w:rPr>
        <w:t>Bidirectionnelle.]</w:t>
      </w:r>
      <w:r>
        <w:t xml:space="preserve">  </w:t>
      </w:r>
      <w:r>
        <w:rPr>
          <w:highlight w:val="yellow"/>
        </w:rPr>
        <w:t>[Unidirectionnelle.]</w:t>
      </w:r>
    </w:p>
    <w:p w14:paraId="0433CD1D" w14:textId="77777777" w:rsidR="00B16F7E" w:rsidRPr="006F1B31" w:rsidRDefault="00C8126D" w:rsidP="002960DD">
      <w:pPr>
        <w:pStyle w:val="PR3"/>
        <w:jc w:val="both"/>
      </w:pPr>
      <w:r>
        <w:t xml:space="preserve">Fonction de déverrouillage d'urgence :  Vantail coulissant et panneau latéral. </w:t>
      </w:r>
    </w:p>
    <w:p w14:paraId="525071E7" w14:textId="77777777" w:rsidR="00B16F7E" w:rsidRPr="006F1B31" w:rsidRDefault="00C8126D" w:rsidP="002960DD">
      <w:pPr>
        <w:pStyle w:val="PR3"/>
        <w:jc w:val="both"/>
      </w:pPr>
      <w:r>
        <w:t>Fixation :  Le linteau supérieur est installé entre les montants.</w:t>
      </w:r>
    </w:p>
    <w:p w14:paraId="732E96BD" w14:textId="77777777" w:rsidR="00B16F7E" w:rsidRPr="006F1B31" w:rsidRDefault="00C8126D" w:rsidP="002960DD">
      <w:pPr>
        <w:pStyle w:val="PR2"/>
        <w:rPr>
          <w:highlight w:val="yellow"/>
        </w:rPr>
      </w:pPr>
      <w:r>
        <w:rPr>
          <w:highlight w:val="yellow"/>
        </w:rPr>
        <w:t>[Entrée à double vantail coulissant, à dégagement complet.]</w:t>
      </w:r>
    </w:p>
    <w:p w14:paraId="5D59B91C" w14:textId="77777777" w:rsidR="00B16F7E" w:rsidRPr="006F1B31" w:rsidRDefault="00C8126D" w:rsidP="002960DD">
      <w:pPr>
        <w:pStyle w:val="PR3"/>
        <w:jc w:val="both"/>
      </w:pPr>
      <w:r>
        <w:t>Configuration :  Unité à double battant, quatre panneaux de largeur égale, comprenant deux vantaux opérables et deux panneaux latéraux.</w:t>
      </w:r>
    </w:p>
    <w:p w14:paraId="561F491A" w14:textId="77777777" w:rsidR="00B16F7E" w:rsidRPr="006F1B31" w:rsidRDefault="00C8126D" w:rsidP="002960DD">
      <w:pPr>
        <w:pStyle w:val="PR3"/>
        <w:jc w:val="both"/>
      </w:pPr>
      <w:r>
        <w:t xml:space="preserve">Sens de circulation </w:t>
      </w:r>
      <w:proofErr w:type="gramStart"/>
      <w:r>
        <w:t xml:space="preserve">:  </w:t>
      </w:r>
      <w:r>
        <w:rPr>
          <w:highlight w:val="yellow"/>
        </w:rPr>
        <w:t>[</w:t>
      </w:r>
      <w:proofErr w:type="gramEnd"/>
      <w:r>
        <w:rPr>
          <w:highlight w:val="yellow"/>
        </w:rPr>
        <w:t>Bidirectionnelle.]</w:t>
      </w:r>
      <w:r>
        <w:t xml:space="preserve">  </w:t>
      </w:r>
      <w:r>
        <w:rPr>
          <w:highlight w:val="yellow"/>
        </w:rPr>
        <w:t>[Unidirectionnelle.]</w:t>
      </w:r>
    </w:p>
    <w:p w14:paraId="094453CC" w14:textId="77777777" w:rsidR="00B16F7E" w:rsidRPr="006F1B31" w:rsidRDefault="00C8126D" w:rsidP="002960DD">
      <w:pPr>
        <w:pStyle w:val="PR3"/>
        <w:jc w:val="both"/>
      </w:pPr>
      <w:r>
        <w:t xml:space="preserve">Fonction de déverrouillage d'urgence :  Vantaux coulissants et panneaux latéraux. </w:t>
      </w:r>
    </w:p>
    <w:p w14:paraId="1D4F7B6C" w14:textId="77777777" w:rsidR="00B16F7E" w:rsidRDefault="00C8126D" w:rsidP="002960DD">
      <w:pPr>
        <w:pStyle w:val="PR3"/>
        <w:jc w:val="both"/>
      </w:pPr>
      <w:r>
        <w:t>Fixation :  Le linteau supérieur est installé entre les montants.</w:t>
      </w:r>
    </w:p>
    <w:p w14:paraId="0D3EAE90" w14:textId="77777777" w:rsidR="00C92E07" w:rsidRPr="00455FD2" w:rsidRDefault="00C8126D" w:rsidP="002960DD">
      <w:pPr>
        <w:pStyle w:val="ART"/>
        <w:jc w:val="both"/>
      </w:pPr>
      <w:r>
        <w:t>COMPOSANTS DE L'ENTRÉE</w:t>
      </w:r>
    </w:p>
    <w:p w14:paraId="38BB7300" w14:textId="77777777" w:rsidR="006565EF" w:rsidRPr="002E6235" w:rsidRDefault="00C8126D" w:rsidP="002960DD">
      <w:pPr>
        <w:pStyle w:val="PR1"/>
      </w:pPr>
      <w:r>
        <w:t>Panneaux coulissants et vitrages latéraux entièrement en verre :</w:t>
      </w:r>
    </w:p>
    <w:p w14:paraId="0A3792AE" w14:textId="77777777" w:rsidR="006565EF" w:rsidRPr="006F1B31" w:rsidRDefault="00C8126D" w:rsidP="002960DD">
      <w:pPr>
        <w:pStyle w:val="PR2"/>
      </w:pPr>
      <w:r>
        <w:t>Matériau :  Aluminium extrudé, alliage 6005A T-61.</w:t>
      </w:r>
    </w:p>
    <w:p w14:paraId="1102E239" w14:textId="77777777" w:rsidR="006565EF" w:rsidRDefault="00C8126D" w:rsidP="002960DD">
      <w:pPr>
        <w:pStyle w:val="PR2"/>
      </w:pPr>
      <w:r>
        <w:t>Les rails horizontaux de porte doivent avoir une épaisseur structurale minimale de paroi de 0,125 po (3,2 mm).</w:t>
      </w:r>
    </w:p>
    <w:p w14:paraId="36AD6359" w14:textId="77777777" w:rsidR="00251CC4" w:rsidRPr="00265C69" w:rsidRDefault="00C8126D" w:rsidP="002960DD">
      <w:pPr>
        <w:pStyle w:val="PR2"/>
      </w:pPr>
      <w:r>
        <w:lastRenderedPageBreak/>
        <w:t>Les entrées coulissantes entièrement vitrées à dégagement total doivent comporter un dispositif de verrouillage par panneau mobile, reliant entre eux le rail inférieur du panneau latéral et celui du panneau de porte coulissante.</w:t>
      </w:r>
    </w:p>
    <w:p w14:paraId="34C9217A" w14:textId="77777777" w:rsidR="00C901B4" w:rsidRDefault="00C8126D" w:rsidP="002960DD">
      <w:pPr>
        <w:pStyle w:val="PR2"/>
      </w:pPr>
      <w:r>
        <w:rPr>
          <w:highlight w:val="yellow"/>
        </w:rPr>
        <w:t>[Renforts verticaux de porte installés à la fois sur le bord d'attaque et le bord d'about des panneaux coulissants et des panneaux latéraux, finition noire.]</w:t>
      </w:r>
    </w:p>
    <w:p w14:paraId="23161E7D" w14:textId="77777777" w:rsidR="006565EF" w:rsidRPr="006F1B31" w:rsidRDefault="00C8126D" w:rsidP="002960DD">
      <w:pPr>
        <w:pStyle w:val="PR2"/>
      </w:pPr>
      <w:r>
        <w:t>La hauteur du rail supérieur doit être de 3‑1/2 po (89 mm).</w:t>
      </w:r>
    </w:p>
    <w:p w14:paraId="229C5ABC" w14:textId="77777777" w:rsidR="006565EF" w:rsidRPr="006F1B31" w:rsidRDefault="00C8126D" w:rsidP="002960DD">
      <w:pPr>
        <w:pStyle w:val="PR2"/>
      </w:pPr>
      <w:r>
        <w:t>Les traverses inférieures doivent être de 4 po (102 mm).</w:t>
      </w:r>
    </w:p>
    <w:p w14:paraId="6351900C" w14:textId="77777777" w:rsidR="006565EF" w:rsidRDefault="00C8126D" w:rsidP="002960DD">
      <w:pPr>
        <w:pStyle w:val="PR2"/>
      </w:pPr>
      <w:r>
        <w:t>Les coupe‑froid doivent être fournis au moyen de bourrelets en mohair à poil long remplaçables, sauf indication contraire.  Les types de calfeutrage d’étanchéité suivants sont requis :  joints d'étanchéité à emboîter, maintenus par des profilés en polycarbonate stabilisé aux UV sur le bord avant des panneaux de porte coulissante et le bord arrière des panneaux latéraux ; joints d'étanchéité en néoprène sur le bord d'about des panneaux coulissants et le bord avant des panneaux latéraux, destinés à être maintenus par des profilés en polycarbonate stabilisé aux UV et à recouvrir les joints opposés lorsque la porte est fermée.</w:t>
      </w:r>
    </w:p>
    <w:p w14:paraId="4B100D93" w14:textId="77777777" w:rsidR="002B6A08" w:rsidRPr="002B6A08" w:rsidRDefault="00C8126D" w:rsidP="002960DD">
      <w:pPr>
        <w:pStyle w:val="PR3"/>
        <w:jc w:val="both"/>
      </w:pPr>
      <w:r>
        <w:t>Les traverses inférieures doivent être munies d’un balai en nylon dissimulé.</w:t>
      </w:r>
    </w:p>
    <w:p w14:paraId="41E5ABDA" w14:textId="77777777" w:rsidR="006565EF" w:rsidRPr="006F1B31" w:rsidRDefault="00C8126D" w:rsidP="002960DD">
      <w:pPr>
        <w:pStyle w:val="PR2"/>
      </w:pPr>
      <w:r>
        <w:t xml:space="preserve">Verre :  Le vitrage doit être conforme à la norme ANSI Z97.1, d'une épaisseur conforme à celle indiquée. </w:t>
      </w:r>
    </w:p>
    <w:p w14:paraId="22FE8FCE" w14:textId="77777777" w:rsidR="006565EF" w:rsidRPr="00971381" w:rsidRDefault="00C8126D" w:rsidP="002960DD">
      <w:pPr>
        <w:pStyle w:val="PRT"/>
        <w:numPr>
          <w:ilvl w:val="0"/>
          <w:numId w:val="0"/>
        </w:numPr>
        <w:spacing w:before="120" w:after="120"/>
        <w:jc w:val="both"/>
        <w:rPr>
          <w:rFonts w:cs="Arial"/>
          <w:b/>
          <w:i/>
          <w:szCs w:val="22"/>
          <w:highlight w:val="lightGray"/>
          <w:u w:val="single"/>
        </w:rPr>
      </w:pPr>
      <w:r>
        <w:rPr>
          <w:b/>
          <w:i/>
          <w:highlight w:val="lightGray"/>
          <w:u w:val="single"/>
        </w:rPr>
        <w:t>REMARQUE :  Le vitrage requis est du verre trempé de 1/2 pouce (12,7 mm).</w:t>
      </w:r>
    </w:p>
    <w:p w14:paraId="1ADFA1DD" w14:textId="77777777" w:rsidR="006565EF" w:rsidRPr="00B91F09" w:rsidRDefault="00C8126D" w:rsidP="002960DD">
      <w:pPr>
        <w:pStyle w:val="PR3"/>
        <w:jc w:val="both"/>
      </w:pPr>
      <w:r>
        <w:t xml:space="preserve">Vitrage des panneaux de porte active et des impostes latérales :  Verre de sécurité trempé transparent de 1/2 pouce (12,7 mm). </w:t>
      </w:r>
    </w:p>
    <w:p w14:paraId="10514E77" w14:textId="77777777" w:rsidR="00AB3F04" w:rsidRPr="00B91F09" w:rsidRDefault="00C8126D" w:rsidP="002960DD">
      <w:pPr>
        <w:pStyle w:val="PR4"/>
        <w:jc w:val="both"/>
      </w:pPr>
      <w:r>
        <w:t>Les chants verticaux exposés du verre doivent être polis.</w:t>
      </w:r>
    </w:p>
    <w:p w14:paraId="1A3BE108" w14:textId="77777777" w:rsidR="006565EF" w:rsidRDefault="00C8126D" w:rsidP="002960DD">
      <w:pPr>
        <w:pStyle w:val="PR3"/>
        <w:jc w:val="both"/>
      </w:pPr>
      <w:r>
        <w:rPr>
          <w:highlight w:val="yellow"/>
        </w:rPr>
        <w:t>[Vitrage du panneau de traverse :  Verre feuilleté clair de sécurité de 1/2" (12,7 mm).</w:t>
      </w:r>
      <w:r>
        <w:t xml:space="preserve">] </w:t>
      </w:r>
    </w:p>
    <w:p w14:paraId="0634B36C" w14:textId="77777777" w:rsidR="00005D44" w:rsidRPr="00BA498D" w:rsidRDefault="00C8126D" w:rsidP="00005D44">
      <w:pPr>
        <w:pStyle w:val="PR3"/>
      </w:pPr>
      <w:r>
        <w:t>Installation du vitrage :  Vitrage à sec autorisé. Vitrage humide interdit.</w:t>
      </w:r>
    </w:p>
    <w:p w14:paraId="2ED3DC99" w14:textId="77777777" w:rsidR="00005D44" w:rsidRPr="00B91F09" w:rsidRDefault="00C8126D" w:rsidP="00847B29">
      <w:pPr>
        <w:pStyle w:val="PR4"/>
        <w:jc w:val="both"/>
      </w:pPr>
      <w:r>
        <w:t xml:space="preserve">Voir la section « Vitrage » de la Division 8 pour les exigences </w:t>
      </w:r>
      <w:proofErr w:type="gramStart"/>
      <w:r>
        <w:t>voir</w:t>
      </w:r>
      <w:proofErr w:type="gramEnd"/>
      <w:r>
        <w:t xml:space="preserve"> la section « Vitrage » de la Division 8 pour les exigences</w:t>
      </w:r>
    </w:p>
    <w:p w14:paraId="10C2B36D" w14:textId="77777777" w:rsidR="00C92E07" w:rsidRPr="006F1B31" w:rsidRDefault="00C8126D" w:rsidP="002960DD">
      <w:pPr>
        <w:pStyle w:val="PR1"/>
      </w:pPr>
      <w:r>
        <w:t>Chariots porteurs :  Ensemble de chariot standard du fabricant permettant un réglage vertical.</w:t>
      </w:r>
    </w:p>
    <w:p w14:paraId="186A07E9" w14:textId="77777777" w:rsidR="00C92E07" w:rsidRPr="009E655D" w:rsidRDefault="00C8126D" w:rsidP="002960DD">
      <w:pPr>
        <w:pStyle w:val="PR2"/>
      </w:pPr>
      <w:r>
        <w:t>Assemblage de chariot :  Barre de chariot munie de deux ensembles de roues.  Chaque assemblage doit être muni de roulettes tandem.</w:t>
      </w:r>
    </w:p>
    <w:p w14:paraId="36BE28AC" w14:textId="77777777" w:rsidR="00C92E07" w:rsidRPr="009E655D" w:rsidRDefault="00C8126D" w:rsidP="002960DD">
      <w:pPr>
        <w:pStyle w:val="PR2"/>
      </w:pPr>
      <w:r>
        <w:t>Les roulettes :  Quatre roulettes robustes en Delrin par ensemble de roues, pour un total de quatre (8) roulettes de 1-7/16 po (36,51 mm) de diamètre par panneau actif, conçues pour rouler sur une piste en aluminium remplaçable. Roulement simple à roulements étanches imprégnés d'huile.</w:t>
      </w:r>
    </w:p>
    <w:p w14:paraId="382B1CB6" w14:textId="77777777" w:rsidR="00C92E07" w:rsidRPr="009E655D" w:rsidRDefault="00C8126D" w:rsidP="002960DD">
      <w:pPr>
        <w:pStyle w:val="PR2"/>
      </w:pPr>
      <w:r>
        <w:t>Deux (2) dispositifs anti‑soulèvement auto‑alignants robustes par panneau.</w:t>
      </w:r>
    </w:p>
    <w:p w14:paraId="68F93DDE" w14:textId="77777777" w:rsidR="00C92E07" w:rsidRPr="006F1B31" w:rsidRDefault="00C8126D" w:rsidP="002960DD">
      <w:pPr>
        <w:pStyle w:val="PR1"/>
      </w:pPr>
      <w:r>
        <w:t>Éléments de charpente :  Les entrées automatiques doivent être fournies sous forme d'ensembles complets.  La charpente en aluminium extrudé standard du fabricant est renforcée selon les besoins pour supporter les charges.</w:t>
      </w:r>
    </w:p>
    <w:p w14:paraId="3CC75FFD" w14:textId="77777777" w:rsidR="00DE38E7" w:rsidRPr="00971381" w:rsidRDefault="00C8126D" w:rsidP="002960DD">
      <w:pPr>
        <w:pStyle w:val="PRT"/>
        <w:numPr>
          <w:ilvl w:val="0"/>
          <w:numId w:val="0"/>
        </w:numPr>
        <w:spacing w:before="120" w:after="120"/>
        <w:jc w:val="both"/>
        <w:rPr>
          <w:rFonts w:cs="Arial"/>
          <w:b/>
          <w:i/>
          <w:szCs w:val="22"/>
          <w:highlight w:val="lightGray"/>
          <w:u w:val="single"/>
        </w:rPr>
      </w:pPr>
      <w:r>
        <w:rPr>
          <w:b/>
          <w:i/>
          <w:highlight w:val="lightGray"/>
          <w:u w:val="single"/>
        </w:rPr>
        <w:lastRenderedPageBreak/>
        <w:t>REMARQUE :  Sélectionner les éléments de cadrage de l’entrée coulissante selon les exigences du projet; les montants de 4-1/2 po constituent la largeur standard pour les entrées à coulissement simple et à ouverture centrale</w:t>
      </w:r>
    </w:p>
    <w:p w14:paraId="47BA4DCB" w14:textId="77777777" w:rsidR="00ED7030" w:rsidRPr="0071506B" w:rsidRDefault="00C8126D" w:rsidP="002960DD">
      <w:pPr>
        <w:pStyle w:val="PR2"/>
      </w:pPr>
      <w:r>
        <w:t xml:space="preserve">Montants verticaux :  1-3/4 pouces (44,5 mm) par </w:t>
      </w:r>
      <w:r>
        <w:rPr>
          <w:highlight w:val="yellow"/>
        </w:rPr>
        <w:t>[4-1/2 pouces (114,3 mm).]</w:t>
      </w:r>
      <w:r>
        <w:t xml:space="preserve">  </w:t>
      </w:r>
      <w:r>
        <w:rPr>
          <w:highlight w:val="yellow"/>
        </w:rPr>
        <w:t>[6 pouces (152,4 mm).]</w:t>
      </w:r>
    </w:p>
    <w:p w14:paraId="51473944" w14:textId="77777777" w:rsidR="00C92E07" w:rsidRPr="006F1B31" w:rsidRDefault="00C8126D" w:rsidP="002960DD">
      <w:pPr>
        <w:pStyle w:val="PR1"/>
      </w:pPr>
      <w:r>
        <w:t>Linteau :  Linteau standard en aluminium extrudé du fabricant, muni d'un rail en aluminium remplaçable s'étendant sur toute la largeur de l'ensemble de porte.  Le linteau doit dissimuler les opérateurs de porte, les ensembles de chariots porteurs et la piste de roulement, et être muni d’un panneau d’accès articulé permettant l’entretien de l’opérateur de porte et des commandes.</w:t>
      </w:r>
    </w:p>
    <w:p w14:paraId="346CBB59" w14:textId="77777777" w:rsidR="00DE38E7" w:rsidRPr="00971381" w:rsidRDefault="00C8126D" w:rsidP="002960DD">
      <w:pPr>
        <w:pStyle w:val="PRT"/>
        <w:numPr>
          <w:ilvl w:val="0"/>
          <w:numId w:val="0"/>
        </w:numPr>
        <w:spacing w:before="120" w:after="120"/>
        <w:jc w:val="both"/>
        <w:rPr>
          <w:rFonts w:cs="Arial"/>
          <w:b/>
          <w:i/>
          <w:szCs w:val="22"/>
          <w:highlight w:val="lightGray"/>
          <w:u w:val="single"/>
        </w:rPr>
      </w:pPr>
      <w:r>
        <w:rPr>
          <w:b/>
          <w:i/>
          <w:highlight w:val="lightGray"/>
          <w:u w:val="single"/>
        </w:rPr>
        <w:t xml:space="preserve">REMARQUE :  Communiquer avec SpecDesk pour les impostes et les ensembles surdimensionnés </w:t>
      </w:r>
    </w:p>
    <w:p w14:paraId="4A5C1069" w14:textId="77777777" w:rsidR="00F57654" w:rsidRDefault="00C8126D" w:rsidP="00F57654">
      <w:pPr>
        <w:pStyle w:val="PR2"/>
      </w:pPr>
      <w:r>
        <w:t>Portée du linteau :   Longueur maximale de 16 pieds (4,9 m) avec des supports intermédiaires en hauteur.</w:t>
      </w:r>
    </w:p>
    <w:p w14:paraId="48EE6622" w14:textId="77777777" w:rsidR="00DE38E7" w:rsidRPr="006F1B31" w:rsidRDefault="00C8126D" w:rsidP="002960DD">
      <w:pPr>
        <w:pStyle w:val="PR3"/>
        <w:jc w:val="both"/>
      </w:pPr>
      <w:r>
        <w:t>Capacité :  Le linteau doit pouvoir supporter les panneaux actifs à dégagement (breakout) jusqu’à un maximum de 220 lb (100 kg) par panneau lorsque le linteau est installé conformément aux recommandations du fabricant.</w:t>
      </w:r>
    </w:p>
    <w:p w14:paraId="7CD105F5" w14:textId="77777777" w:rsidR="00A81F5B" w:rsidRPr="00A81F5B" w:rsidRDefault="00C8126D" w:rsidP="002960DD">
      <w:pPr>
        <w:pStyle w:val="PRT"/>
        <w:numPr>
          <w:ilvl w:val="0"/>
          <w:numId w:val="0"/>
        </w:numPr>
        <w:spacing w:before="120" w:after="120"/>
        <w:jc w:val="both"/>
        <w:rPr>
          <w:b/>
          <w:i/>
          <w:highlight w:val="lightGray"/>
          <w:u w:val="single"/>
        </w:rPr>
      </w:pPr>
      <w:r>
        <w:rPr>
          <w:b/>
          <w:i/>
          <w:highlight w:val="lightGray"/>
          <w:u w:val="single"/>
        </w:rPr>
        <w:t>REMARQUE :  La largeur standard du linteau de 4-1/2 po est utilisée avec des montants de 4-1/2 po. Une largeur de linteau de 6 po est fournie lorsque des montants de 6 po sont requis.</w:t>
      </w:r>
    </w:p>
    <w:p w14:paraId="79DE7F83" w14:textId="77777777" w:rsidR="00DE38E7" w:rsidRPr="006F1B31" w:rsidRDefault="00C8126D" w:rsidP="002960DD">
      <w:pPr>
        <w:pStyle w:val="PR2"/>
      </w:pPr>
      <w:r>
        <w:t xml:space="preserve">Dimensions du linteau </w:t>
      </w:r>
      <w:proofErr w:type="gramStart"/>
      <w:r>
        <w:t xml:space="preserve">:  </w:t>
      </w:r>
      <w:r>
        <w:rPr>
          <w:highlight w:val="yellow"/>
        </w:rPr>
        <w:t>[</w:t>
      </w:r>
      <w:proofErr w:type="gramEnd"/>
      <w:r>
        <w:rPr>
          <w:highlight w:val="yellow"/>
        </w:rPr>
        <w:t>4,5 po (114,3 mm) x 7 po (177,8 mm)]</w:t>
      </w:r>
      <w:r>
        <w:t xml:space="preserve"> ou </w:t>
      </w:r>
      <w:r>
        <w:rPr>
          <w:highlight w:val="yellow"/>
        </w:rPr>
        <w:t>[6 po (152,4 mm) x 7 po (177,8 mm)]</w:t>
      </w:r>
      <w:r>
        <w:t>.</w:t>
      </w:r>
    </w:p>
    <w:p w14:paraId="67CEBA00" w14:textId="77777777" w:rsidR="00DE38E7" w:rsidRDefault="00C8126D" w:rsidP="002960DD">
      <w:pPr>
        <w:pStyle w:val="PR3"/>
        <w:jc w:val="both"/>
      </w:pPr>
      <w:r>
        <w:t>La hauteur du linteau, y compris le capuchon de la plaque de capteur qui couvre la largeur libre de l'ouverture de la porte, est de 203,2 mm (8 pouces).</w:t>
      </w:r>
    </w:p>
    <w:p w14:paraId="00C2841F" w14:textId="77777777" w:rsidR="00C92E07" w:rsidRPr="006F1B31" w:rsidRDefault="00C8126D" w:rsidP="002960DD">
      <w:pPr>
        <w:pStyle w:val="PR2"/>
      </w:pPr>
      <w:r>
        <w:t>Accès au linteau :  Une charnière continue en haut du linteau permet au couvercle de pivoter et offre un accès complet à l'opérateur ainsi qu'aux ensembles électroniques et mécaniques internes.</w:t>
      </w:r>
    </w:p>
    <w:p w14:paraId="41533EE0" w14:textId="77777777" w:rsidR="00C92E07" w:rsidRPr="006F1B31" w:rsidRDefault="00C8126D" w:rsidP="002960DD">
      <w:pPr>
        <w:pStyle w:val="PR2"/>
      </w:pPr>
      <w:r>
        <w:t>Conception :  Le linteau doit être fermé lorsque les portes sont en position fermée.</w:t>
      </w:r>
    </w:p>
    <w:p w14:paraId="319FF842" w14:textId="77777777" w:rsidR="003D2C36" w:rsidRPr="00A218E8" w:rsidRDefault="00C8126D" w:rsidP="002960DD">
      <w:pPr>
        <w:pStyle w:val="ART"/>
        <w:jc w:val="both"/>
      </w:pPr>
      <w:r>
        <w:t>QUINCAILLERIE</w:t>
      </w:r>
    </w:p>
    <w:p w14:paraId="6103DBF5" w14:textId="77777777" w:rsidR="00C92E07" w:rsidRPr="006F1B31" w:rsidRDefault="00C8126D" w:rsidP="002960DD">
      <w:pPr>
        <w:pStyle w:val="PR1"/>
      </w:pPr>
      <w:r>
        <w:t xml:space="preserve">Quincaillerie :  Fournir la quincaillerie standard du fabricant nécessaire au fonctionnement indiqué. </w:t>
      </w:r>
    </w:p>
    <w:p w14:paraId="6C1A39FE" w14:textId="77777777" w:rsidR="00C92E07" w:rsidRPr="009A4BE9" w:rsidRDefault="00C8126D" w:rsidP="002960DD">
      <w:pPr>
        <w:pStyle w:val="PR2"/>
      </w:pPr>
      <w:r>
        <w:t xml:space="preserve">Conformément aux codes applicables, les bras de dégagement et les ensembles de pivotement supérieurs et inférieurs doivent être fournis par le fabricant et réglables. </w:t>
      </w:r>
    </w:p>
    <w:p w14:paraId="452FA602" w14:textId="77777777" w:rsidR="00475807" w:rsidRPr="009A4BE9" w:rsidRDefault="00C8126D" w:rsidP="002960DD">
      <w:pPr>
        <w:pStyle w:val="PR3"/>
        <w:jc w:val="both"/>
      </w:pPr>
      <w:r>
        <w:t>Les bras de sécurité et les ensembles de pivot supérieur seront associés à des dispositifs limitant l'ouverture à 90 degrés.</w:t>
      </w:r>
    </w:p>
    <w:p w14:paraId="50006162" w14:textId="77777777" w:rsidR="005D6756" w:rsidRPr="005D6756" w:rsidRDefault="00C8126D" w:rsidP="005D6756">
      <w:pPr>
        <w:pStyle w:val="PR3"/>
        <w:jc w:val="both"/>
      </w:pPr>
      <w:bookmarkStart w:id="2" w:name="_Hlk182320349"/>
      <w:r>
        <w:lastRenderedPageBreak/>
        <w:t>Bras de butée encastré permettant de limiter le déplacement des panneaux coulissants jusqu'à la position d'arrêt à 90 degrés.</w:t>
      </w:r>
    </w:p>
    <w:p w14:paraId="39A4D175" w14:textId="77777777" w:rsidR="0069496F" w:rsidRPr="005D6756" w:rsidRDefault="00C8126D" w:rsidP="002960DD">
      <w:pPr>
        <w:pStyle w:val="PR3"/>
        <w:jc w:val="both"/>
      </w:pPr>
      <w:r>
        <w:t>Barre de friction dissimulée avec résistance ajustable pour contrôler le mouvement des panneaux latéraux jusqu'à la position d'arrêt à 90 degrés.</w:t>
      </w:r>
      <w:bookmarkEnd w:id="2"/>
    </w:p>
    <w:p w14:paraId="03043BB7" w14:textId="77777777" w:rsidR="00C92E07" w:rsidRPr="009A4BE9" w:rsidRDefault="00C8126D" w:rsidP="002960DD">
      <w:pPr>
        <w:pStyle w:val="PR2"/>
      </w:pPr>
      <w:r>
        <w:t>Des loquets magnétiques doivent être fournis pour retenir les panneaux de porte à dégagement et les panneaux latéraux en position fermée.</w:t>
      </w:r>
    </w:p>
    <w:p w14:paraId="54739686" w14:textId="77777777" w:rsidR="00C92E07" w:rsidRPr="006F1B31" w:rsidRDefault="00C8126D" w:rsidP="002960DD">
      <w:pPr>
        <w:pStyle w:val="PRT"/>
        <w:numPr>
          <w:ilvl w:val="0"/>
          <w:numId w:val="0"/>
        </w:numPr>
        <w:spacing w:before="120" w:after="120"/>
        <w:jc w:val="both"/>
        <w:rPr>
          <w:rFonts w:cs="Arial"/>
          <w:b/>
          <w:i/>
          <w:szCs w:val="22"/>
          <w:u w:val="single"/>
        </w:rPr>
      </w:pPr>
      <w:r>
        <w:rPr>
          <w:b/>
          <w:i/>
          <w:highlight w:val="lightGray"/>
          <w:u w:val="single"/>
        </w:rPr>
        <w:t>REMARQUE :  Pour les options de quincaillerie de verrouillage, veuillez consulter SpecDesk</w:t>
      </w:r>
    </w:p>
    <w:p w14:paraId="7162719D" w14:textId="77777777" w:rsidR="00C92E07" w:rsidRPr="006F1B31" w:rsidRDefault="00C8126D" w:rsidP="002960DD">
      <w:pPr>
        <w:pStyle w:val="PR2"/>
      </w:pPr>
      <w:r>
        <w:t xml:space="preserve">La quincaillerie de verrouillage doit être fournie comme indiqué. </w:t>
      </w:r>
    </w:p>
    <w:p w14:paraId="68AD8A32" w14:textId="77777777" w:rsidR="00C92E07" w:rsidRPr="006F1B31" w:rsidRDefault="00C8126D" w:rsidP="002960DD">
      <w:pPr>
        <w:pStyle w:val="PR3"/>
        <w:jc w:val="both"/>
        <w:rPr>
          <w:highlight w:val="yellow"/>
        </w:rPr>
      </w:pPr>
      <w:r>
        <w:rPr>
          <w:highlight w:val="yellow"/>
        </w:rPr>
        <w:t>[Le verrou coulissant électrifié assure le verrouillage automatique de la fonction coulissante de l’ensemble des panneaux de porte coulissants de l’entrée dès que ceux‑ci atteignent la position fermée.]</w:t>
      </w:r>
    </w:p>
    <w:p w14:paraId="649B8B3C" w14:textId="77777777" w:rsidR="00C92E07" w:rsidRPr="006F1B31" w:rsidRDefault="00C8126D" w:rsidP="002960DD">
      <w:pPr>
        <w:pStyle w:val="PR4"/>
        <w:jc w:val="both"/>
        <w:rPr>
          <w:highlight w:val="yellow"/>
        </w:rPr>
      </w:pPr>
      <w:r>
        <w:rPr>
          <w:highlight w:val="yellow"/>
        </w:rPr>
        <w:t>[Fonctionnement en mode sécurité positive :  Le verrou coulissant doit verrouiller la fonction coulissante des panneaux de porte en cas de perte d’alimentation.]</w:t>
      </w:r>
    </w:p>
    <w:p w14:paraId="3E396C4A" w14:textId="77777777" w:rsidR="00C92E07" w:rsidRPr="006F1B31" w:rsidRDefault="00C8126D" w:rsidP="002960DD">
      <w:pPr>
        <w:pStyle w:val="PR4"/>
        <w:jc w:val="both"/>
        <w:rPr>
          <w:highlight w:val="yellow"/>
        </w:rPr>
      </w:pPr>
      <w:r>
        <w:rPr>
          <w:highlight w:val="yellow"/>
        </w:rPr>
        <w:t>[Fonctionnement en mode sécurité négative :  Le verrou coulissant doit déverrouiller la fonction coulissante des panneaux de porte en cas de perte d’alimentation.]</w:t>
      </w:r>
    </w:p>
    <w:p w14:paraId="3BFC3783" w14:textId="77777777" w:rsidR="00C92E07" w:rsidRPr="002E6235" w:rsidRDefault="00C8126D" w:rsidP="002960DD">
      <w:pPr>
        <w:pStyle w:val="PR4"/>
        <w:jc w:val="both"/>
        <w:rPr>
          <w:highlight w:val="yellow"/>
        </w:rPr>
      </w:pPr>
      <w:r>
        <w:rPr>
          <w:highlight w:val="yellow"/>
        </w:rPr>
        <w:t>Interrupteur à clé monté sur le montant extérieur pour déverrouiller la fonction coulissante de la porte.</w:t>
      </w:r>
    </w:p>
    <w:p w14:paraId="55EA7441" w14:textId="77777777" w:rsidR="007B4163" w:rsidRPr="00122844" w:rsidRDefault="00C8126D" w:rsidP="002960DD">
      <w:pPr>
        <w:pStyle w:val="PR3"/>
        <w:jc w:val="both"/>
        <w:rPr>
          <w:highlight w:val="yellow"/>
        </w:rPr>
      </w:pPr>
      <w:r>
        <w:rPr>
          <w:highlight w:val="yellow"/>
        </w:rPr>
        <w:t>[Serrures à pêne dormant, une par panneau coulissant.]</w:t>
      </w:r>
    </w:p>
    <w:p w14:paraId="1E7ACF63" w14:textId="77777777" w:rsidR="007B4163" w:rsidRDefault="00C8126D" w:rsidP="002960DD">
      <w:pPr>
        <w:pStyle w:val="PR4"/>
        <w:jc w:val="both"/>
        <w:rPr>
          <w:rFonts w:cs="Arial"/>
          <w:szCs w:val="22"/>
          <w:highlight w:val="yellow"/>
        </w:rPr>
      </w:pPr>
      <w:r>
        <w:rPr>
          <w:highlight w:val="yellow"/>
        </w:rPr>
        <w:t>Emplacement de montage :  Prolonger le pêne depuis le rail inférieur du panneau coulissant jusque dans le plancher.</w:t>
      </w:r>
    </w:p>
    <w:p w14:paraId="6872C069" w14:textId="77777777" w:rsidR="007B4163" w:rsidRPr="003D2C36" w:rsidRDefault="00C8126D" w:rsidP="002960DD">
      <w:pPr>
        <w:pStyle w:val="PR4"/>
        <w:jc w:val="both"/>
        <w:rPr>
          <w:rFonts w:cs="Arial"/>
          <w:szCs w:val="22"/>
          <w:highlight w:val="yellow"/>
        </w:rPr>
      </w:pPr>
      <w:r>
        <w:rPr>
          <w:highlight w:val="yellow"/>
        </w:rPr>
        <w:t>Côté intérieur : Aucune opération.</w:t>
      </w:r>
    </w:p>
    <w:p w14:paraId="154C65DF" w14:textId="77777777" w:rsidR="007B4163" w:rsidRPr="003D2C36" w:rsidRDefault="00C8126D" w:rsidP="002960DD">
      <w:pPr>
        <w:pStyle w:val="PR4"/>
        <w:jc w:val="both"/>
        <w:rPr>
          <w:rFonts w:cs="Arial"/>
          <w:szCs w:val="22"/>
          <w:highlight w:val="yellow"/>
        </w:rPr>
      </w:pPr>
      <w:r>
        <w:rPr>
          <w:highlight w:val="yellow"/>
        </w:rPr>
        <w:t xml:space="preserve">Côté extérieur : Cylindre à clé. </w:t>
      </w:r>
    </w:p>
    <w:p w14:paraId="2EECDACE" w14:textId="77777777" w:rsidR="007B4163" w:rsidRPr="003D2C36" w:rsidRDefault="00C8126D" w:rsidP="002960DD">
      <w:pPr>
        <w:pStyle w:val="PR4"/>
        <w:jc w:val="both"/>
        <w:rPr>
          <w:rFonts w:cs="Arial"/>
          <w:szCs w:val="22"/>
          <w:highlight w:val="yellow"/>
        </w:rPr>
      </w:pPr>
      <w:r>
        <w:rPr>
          <w:highlight w:val="yellow"/>
        </w:rPr>
        <w:t>Il doit être prévu une gâche au sol anti-poussière.</w:t>
      </w:r>
    </w:p>
    <w:p w14:paraId="4F92CC8E" w14:textId="77777777" w:rsidR="00C92E07" w:rsidRPr="006F1B31" w:rsidRDefault="00C8126D" w:rsidP="002960DD">
      <w:pPr>
        <w:pStyle w:val="PR2"/>
      </w:pPr>
      <w:r>
        <w:t xml:space="preserve">Des cylindres à clé doivent être fournis comme indiqué. </w:t>
      </w:r>
    </w:p>
    <w:p w14:paraId="4DBE3482" w14:textId="77777777" w:rsidR="00C92E07" w:rsidRPr="006F1B31" w:rsidRDefault="00C8126D" w:rsidP="002960DD">
      <w:pPr>
        <w:pStyle w:val="PR3"/>
        <w:jc w:val="both"/>
        <w:rPr>
          <w:highlight w:val="yellow"/>
        </w:rPr>
      </w:pPr>
      <w:r>
        <w:rPr>
          <w:highlight w:val="yellow"/>
        </w:rPr>
        <w:t xml:space="preserve">[Cylindre à clé standard du fabricant.] </w:t>
      </w:r>
    </w:p>
    <w:p w14:paraId="14F13FAA" w14:textId="77777777" w:rsidR="00C92E07" w:rsidRPr="006F1B31" w:rsidRDefault="00C8126D" w:rsidP="002960DD">
      <w:pPr>
        <w:pStyle w:val="PR3"/>
        <w:jc w:val="both"/>
        <w:rPr>
          <w:highlight w:val="yellow"/>
        </w:rPr>
      </w:pPr>
      <w:r>
        <w:rPr>
          <w:highlight w:val="yellow"/>
        </w:rPr>
        <w:t>[Cylindre à clé spécifié dans la section « Quincaillerie de porte » de la division 8.]</w:t>
      </w:r>
    </w:p>
    <w:p w14:paraId="06240779" w14:textId="77777777" w:rsidR="00C92E07" w:rsidRDefault="00C8126D" w:rsidP="002960DD">
      <w:pPr>
        <w:pStyle w:val="PR3"/>
        <w:jc w:val="both"/>
        <w:rPr>
          <w:highlight w:val="yellow"/>
        </w:rPr>
      </w:pPr>
      <w:r>
        <w:rPr>
          <w:highlight w:val="yellow"/>
        </w:rPr>
        <w:t>[Cylindre à clé d'autres fabricants.]</w:t>
      </w:r>
    </w:p>
    <w:p w14:paraId="2F3F4E9A" w14:textId="77777777" w:rsidR="00C92E07" w:rsidRPr="006F1B31" w:rsidRDefault="00C8126D" w:rsidP="002960DD">
      <w:pPr>
        <w:pStyle w:val="PR1"/>
      </w:pPr>
      <w:r>
        <w:t>Rail de guidage/Seuil:  Seuil du fabricant tel qu’indiqué.</w:t>
      </w:r>
    </w:p>
    <w:p w14:paraId="2AB732C7" w14:textId="77777777" w:rsidR="00F25DA2" w:rsidRDefault="00C8126D" w:rsidP="002960DD">
      <w:pPr>
        <w:pStyle w:val="PRT"/>
        <w:numPr>
          <w:ilvl w:val="0"/>
          <w:numId w:val="0"/>
        </w:numPr>
        <w:spacing w:before="120" w:after="120"/>
        <w:jc w:val="both"/>
      </w:pPr>
      <w:r>
        <w:rPr>
          <w:b/>
          <w:i/>
          <w:highlight w:val="lightGray"/>
          <w:u w:val="single"/>
        </w:rPr>
        <w:t xml:space="preserve">REMARQUE :  L'option 1 correspond au seuil/rail standard du fabricant et l'option 2 pour un rail de guidage est également disponible. </w:t>
      </w:r>
    </w:p>
    <w:p w14:paraId="5123C50C" w14:textId="77777777" w:rsidR="00B03926" w:rsidRPr="0067113B" w:rsidRDefault="00C8126D" w:rsidP="002960DD">
      <w:pPr>
        <w:pStyle w:val="PR2"/>
        <w:rPr>
          <w:highlight w:val="yellow"/>
        </w:rPr>
      </w:pPr>
      <w:r>
        <w:rPr>
          <w:highlight w:val="yellow"/>
        </w:rPr>
        <w:t>[Seuil d’entrée à dégagement complet:  Le seuil continu en aluminium de 1/2 po (12,7 mm) de hauteur est muni d'un rail intégré.</w:t>
      </w:r>
      <w:r>
        <w:t xml:space="preserve"> </w:t>
      </w:r>
      <w:r>
        <w:rPr>
          <w:highlight w:val="yellow"/>
        </w:rPr>
        <w:t>Il couvre la largeur du linteau de la porte coulissante et s'insère entre les montants verticaux.  La conception du seuil doit permettre l'ajout de rampes extrudées optionnelles. Celles-ci s'emboîtent solidement dans la section plane pour répondre aux exigences ADA.</w:t>
      </w:r>
    </w:p>
    <w:p w14:paraId="644B4582" w14:textId="77777777" w:rsidR="00B03926" w:rsidRDefault="00C8126D" w:rsidP="002960DD">
      <w:pPr>
        <w:pStyle w:val="PR3"/>
        <w:jc w:val="both"/>
        <w:rPr>
          <w:highlight w:val="yellow"/>
        </w:rPr>
      </w:pPr>
      <w:r>
        <w:rPr>
          <w:highlight w:val="yellow"/>
        </w:rPr>
        <w:t xml:space="preserve">[Seuil en applique avec rampes emboîtables conformes à </w:t>
      </w:r>
      <w:proofErr w:type="gramStart"/>
      <w:r>
        <w:rPr>
          <w:highlight w:val="yellow"/>
        </w:rPr>
        <w:t>l'ADA]</w:t>
      </w:r>
      <w:r>
        <w:t xml:space="preserve">  </w:t>
      </w:r>
      <w:r>
        <w:rPr>
          <w:highlight w:val="yellow"/>
        </w:rPr>
        <w:t>[</w:t>
      </w:r>
      <w:proofErr w:type="gramEnd"/>
      <w:r>
        <w:rPr>
          <w:highlight w:val="yellow"/>
        </w:rPr>
        <w:t>Seuil encastré]</w:t>
      </w:r>
    </w:p>
    <w:p w14:paraId="36B67880" w14:textId="77777777" w:rsidR="0067113B" w:rsidRPr="0067113B" w:rsidRDefault="00C8126D" w:rsidP="002960DD">
      <w:pPr>
        <w:pStyle w:val="PR2"/>
        <w:rPr>
          <w:highlight w:val="yellow"/>
        </w:rPr>
      </w:pPr>
      <w:r>
        <w:rPr>
          <w:highlight w:val="yellow"/>
        </w:rPr>
        <w:lastRenderedPageBreak/>
        <w:t>[Rail de guidage pour entrée à dégagement complet:  Rail de guidage en aluminium encastré au plancher,</w:t>
      </w:r>
      <w:r>
        <w:t xml:space="preserve"> </w:t>
      </w:r>
      <w:r>
        <w:rPr>
          <w:highlight w:val="yellow"/>
        </w:rPr>
        <w:t xml:space="preserve">adjacent à la partie imposte latérale de l’ensemble de porte automatique coulissante.] </w:t>
      </w:r>
    </w:p>
    <w:p w14:paraId="11398C09" w14:textId="77777777" w:rsidR="00B03926" w:rsidRPr="006F1B31" w:rsidRDefault="00B03926" w:rsidP="002960DD">
      <w:pPr>
        <w:pStyle w:val="PR2"/>
        <w:numPr>
          <w:ilvl w:val="0"/>
          <w:numId w:val="0"/>
        </w:numPr>
        <w:ind w:left="1440"/>
        <w:rPr>
          <w:highlight w:val="yellow"/>
        </w:rPr>
      </w:pPr>
    </w:p>
    <w:p w14:paraId="67BDFE53" w14:textId="77777777" w:rsidR="00C92E07" w:rsidRPr="006F1B31" w:rsidRDefault="00C8126D" w:rsidP="002960DD">
      <w:pPr>
        <w:pStyle w:val="ART"/>
        <w:jc w:val="both"/>
      </w:pPr>
      <w:r>
        <w:t>OPÉRATEURS ET COMMANDES DE PORTE</w:t>
      </w:r>
    </w:p>
    <w:p w14:paraId="7ED293CF" w14:textId="77777777" w:rsidR="00C92E07" w:rsidRPr="006F1B31" w:rsidRDefault="00C8126D" w:rsidP="002960DD">
      <w:pPr>
        <w:pStyle w:val="PR1"/>
      </w:pPr>
      <w:r>
        <w:t xml:space="preserve">Opérateur et commande de porte : </w:t>
      </w:r>
    </w:p>
    <w:p w14:paraId="6F7D6E59" w14:textId="77777777" w:rsidR="00C92E07" w:rsidRDefault="00C8126D" w:rsidP="002960DD">
      <w:pPr>
        <w:pStyle w:val="PR2"/>
      </w:pPr>
      <w:r>
        <w:t xml:space="preserve">Unité électromécanique dotée d'un moteur CC à haut rendement énergétique et d'une capacité de courant maximal de 3 ampères. Elle permet l'alimentation de cinq opérateurs sur un circuit de 20 ampères. Même en cas de sous-tension ou de surtension (85 V – 265 V), le système fourni doit maintenir sa pleine performance. Il est en effet capable de détecter les variations et de s'ajuster automatiquement.  Un délai d'ouverture maintenue réglable de 0 à 60 secondes doit être offert par l'opérateur. Ce dernier doit également intégrer un logiciel interne assurant une fonction d'autodiagnostic. </w:t>
      </w:r>
    </w:p>
    <w:p w14:paraId="39FF39CE" w14:textId="77777777" w:rsidR="00CA24F0" w:rsidRPr="006F1B31" w:rsidRDefault="00C8126D" w:rsidP="002960DD">
      <w:pPr>
        <w:pStyle w:val="PR2"/>
      </w:pPr>
      <w:r>
        <w:t>Température de fonctionnement : Entre -35</w:t>
      </w:r>
      <w:r>
        <w:rPr>
          <w:rFonts w:ascii="Symbol" w:hAnsi="Symbol"/>
        </w:rPr>
        <w:sym w:font="Symbol" w:char="F0B0"/>
      </w:r>
      <w:r>
        <w:t>°C et 54,44</w:t>
      </w:r>
      <w:r>
        <w:rPr>
          <w:rFonts w:ascii="Symbol" w:hAnsi="Symbol"/>
        </w:rPr>
        <w:sym w:font="Symbol" w:char="F0B0"/>
      </w:r>
      <w:r>
        <w:t>°C (entre -31</w:t>
      </w:r>
      <w:r>
        <w:rPr>
          <w:rFonts w:ascii="Symbol" w:hAnsi="Symbol"/>
        </w:rPr>
        <w:sym w:font="Symbol" w:char="F0B0"/>
      </w:r>
      <w:r>
        <w:t>F et 130</w:t>
      </w:r>
      <w:r>
        <w:rPr>
          <w:rFonts w:ascii="Symbol" w:hAnsi="Symbol"/>
        </w:rPr>
        <w:sym w:font="Symbol" w:char="F0B0"/>
      </w:r>
      <w:r>
        <w:t>F).</w:t>
      </w:r>
    </w:p>
    <w:p w14:paraId="0F5955DA" w14:textId="77777777" w:rsidR="00C92E07" w:rsidRPr="006F1B31" w:rsidRDefault="00C8126D" w:rsidP="002960DD">
      <w:pPr>
        <w:pStyle w:val="PR1"/>
      </w:pPr>
      <w:r>
        <w:t xml:space="preserve">Boîtier de commande à microprocesseur : </w:t>
      </w:r>
    </w:p>
    <w:p w14:paraId="713F40A4" w14:textId="77777777" w:rsidR="00C92E07" w:rsidRPr="006F1B31" w:rsidRDefault="00C8126D" w:rsidP="002960DD">
      <w:pPr>
        <w:pStyle w:val="PR2"/>
      </w:pPr>
      <w:r>
        <w:t>Technologies évolutives intégrées grâce à cette unité de commande modulaire.  L'usine ajuste la configuration et les vitesses d'ouverture et de fermeture sont conformes à la norme ANSI/BHMA A156.10. L'amortissement électronique vise à réduire l'usure de l'entraînement. Si les performances de l'entraînement s'écartent des paramètres de conception, le circuit de surveillance Watchdog prendra le contrôle et désactivera la fonction automatique. La continuité sera alors assurée par un circuit de supervision secondaire.  L'unité de commande doit permettre les fonctions suivantes :</w:t>
      </w:r>
    </w:p>
    <w:p w14:paraId="229FD97A" w14:textId="77777777" w:rsidR="00C92E07" w:rsidRPr="006F1B31" w:rsidRDefault="00C8126D" w:rsidP="002960DD">
      <w:pPr>
        <w:pStyle w:val="PR3"/>
        <w:jc w:val="both"/>
      </w:pPr>
      <w:r>
        <w:t>Diagnostics avec la capacité de générer des données d'application.</w:t>
      </w:r>
    </w:p>
    <w:p w14:paraId="6966E792" w14:textId="77777777" w:rsidR="00C92E07" w:rsidRPr="006F1B31" w:rsidRDefault="00C8126D" w:rsidP="002960DD">
      <w:pPr>
        <w:pStyle w:val="PR2"/>
      </w:pPr>
      <w:r>
        <w:t>Commande de sélection de mode :</w:t>
      </w:r>
    </w:p>
    <w:p w14:paraId="2BCECC78" w14:textId="77777777" w:rsidR="00C92E07" w:rsidRPr="006F1B31" w:rsidRDefault="00C8126D" w:rsidP="002960DD">
      <w:pPr>
        <w:pStyle w:val="PRT"/>
        <w:numPr>
          <w:ilvl w:val="0"/>
          <w:numId w:val="0"/>
        </w:numPr>
        <w:spacing w:before="120" w:after="120"/>
        <w:jc w:val="both"/>
        <w:rPr>
          <w:rFonts w:cs="Arial"/>
          <w:b/>
          <w:i/>
          <w:szCs w:val="22"/>
          <w:u w:val="single"/>
        </w:rPr>
      </w:pPr>
      <w:r>
        <w:rPr>
          <w:b/>
          <w:i/>
          <w:highlight w:val="lightGray"/>
          <w:u w:val="single"/>
        </w:rPr>
        <w:t>REMARQUE :  Le sélecteur de mode à bouton rotatif est fourni de série par le fabricant. Le sélecteur de mode à pavé tactile numérique est disponible en option</w:t>
      </w:r>
    </w:p>
    <w:p w14:paraId="3786D7CF" w14:textId="77777777" w:rsidR="00B1116C" w:rsidRPr="006F1B31" w:rsidRDefault="00C8126D" w:rsidP="002960DD">
      <w:pPr>
        <w:pStyle w:val="PR3"/>
        <w:jc w:val="both"/>
        <w:rPr>
          <w:highlight w:val="yellow"/>
        </w:rPr>
      </w:pPr>
      <w:r>
        <w:t xml:space="preserve">Le </w:t>
      </w:r>
      <w:r>
        <w:rPr>
          <w:highlight w:val="yellow"/>
        </w:rPr>
        <w:t>sélecteur de mode [à plusieurs positions] [bouton rotatif] [cylindre à clé] doit permettre d'activer les fonctions indiquées lorsque le commutateur est tourné sur la position appropriée.]</w:t>
      </w:r>
    </w:p>
    <w:p w14:paraId="4B11ED3A" w14:textId="77777777" w:rsidR="00932857" w:rsidRPr="00932857" w:rsidRDefault="00C8126D" w:rsidP="002960DD">
      <w:pPr>
        <w:pStyle w:val="PR3"/>
        <w:jc w:val="both"/>
        <w:rPr>
          <w:highlight w:val="yellow"/>
        </w:rPr>
      </w:pPr>
      <w:r>
        <w:rPr>
          <w:highlight w:val="yellow"/>
        </w:rPr>
        <w:t>[Commande de sélection de mode à pavé tactile numérique avec les caractéristiques suivantes :]</w:t>
      </w:r>
    </w:p>
    <w:p w14:paraId="09C6996C" w14:textId="77777777" w:rsidR="00932857" w:rsidRPr="006F1B31" w:rsidRDefault="00C8126D" w:rsidP="002960DD">
      <w:pPr>
        <w:pStyle w:val="PRT"/>
        <w:numPr>
          <w:ilvl w:val="0"/>
          <w:numId w:val="0"/>
        </w:numPr>
        <w:spacing w:before="120" w:after="120"/>
        <w:jc w:val="both"/>
        <w:rPr>
          <w:rFonts w:cs="Arial"/>
          <w:b/>
          <w:i/>
          <w:szCs w:val="22"/>
          <w:u w:val="single"/>
        </w:rPr>
      </w:pPr>
      <w:r>
        <w:rPr>
          <w:b/>
          <w:i/>
          <w:highlight w:val="lightGray"/>
          <w:u w:val="single"/>
        </w:rPr>
        <w:t>REMARQUE :  Sélectionner l’opération par clé si requis pour la sécurité</w:t>
      </w:r>
    </w:p>
    <w:p w14:paraId="22F8856D" w14:textId="77777777" w:rsidR="00932857" w:rsidRPr="00932857" w:rsidRDefault="00C8126D" w:rsidP="002960DD">
      <w:pPr>
        <w:pStyle w:val="PR4"/>
        <w:jc w:val="both"/>
        <w:rPr>
          <w:highlight w:val="yellow"/>
        </w:rPr>
      </w:pPr>
      <w:r>
        <w:rPr>
          <w:highlight w:val="yellow"/>
        </w:rPr>
        <w:t>[Commande par clé pour verrouiller/déverrouiller le pavé tactile afin d’éviter tout changement accidentel des réglages.]</w:t>
      </w:r>
    </w:p>
    <w:p w14:paraId="33235B20" w14:textId="77777777" w:rsidR="00932857" w:rsidRPr="003B1F4F" w:rsidRDefault="00C8126D" w:rsidP="002960DD">
      <w:pPr>
        <w:pStyle w:val="PR4"/>
        <w:jc w:val="both"/>
      </w:pPr>
      <w:r>
        <w:t>Pavé tactile de sélection de mode avec boutons rétroéclairés permettant la sélection des fonctions indiquées.</w:t>
      </w:r>
    </w:p>
    <w:p w14:paraId="6E6B9AC3" w14:textId="77777777" w:rsidR="00932857" w:rsidRPr="003B1F4F" w:rsidRDefault="00C8126D" w:rsidP="002960DD">
      <w:pPr>
        <w:pStyle w:val="PR4"/>
        <w:jc w:val="both"/>
      </w:pPr>
      <w:r>
        <w:lastRenderedPageBreak/>
        <w:t>Voyant LED multicolore de diagnostic pour les situations suivantes :  inspection requise par le client, entretien requis, condition d’erreur telle que porte en position d’ouverture de secours, ou confirmation après d’autres opérations de boutons.</w:t>
      </w:r>
    </w:p>
    <w:p w14:paraId="311D1743" w14:textId="77777777" w:rsidR="00932857" w:rsidRPr="003B1F4F" w:rsidRDefault="00C8126D" w:rsidP="002960DD">
      <w:pPr>
        <w:pStyle w:val="PR4"/>
        <w:jc w:val="both"/>
      </w:pPr>
      <w:r>
        <w:t>Connexion pour l’interface de l’outil de configuration utilisé pour la mise en service.</w:t>
      </w:r>
    </w:p>
    <w:p w14:paraId="441238E3" w14:textId="77777777" w:rsidR="00982410" w:rsidRDefault="00C8126D" w:rsidP="002960DD">
      <w:pPr>
        <w:pStyle w:val="PRT"/>
        <w:numPr>
          <w:ilvl w:val="0"/>
          <w:numId w:val="0"/>
        </w:numPr>
        <w:spacing w:before="120" w:after="120"/>
        <w:jc w:val="both"/>
        <w:rPr>
          <w:b/>
          <w:i/>
          <w:u w:val="single"/>
        </w:rPr>
      </w:pPr>
      <w:r>
        <w:rPr>
          <w:b/>
          <w:i/>
          <w:highlight w:val="lightGray"/>
          <w:u w:val="single"/>
        </w:rPr>
        <w:t>REMARQUE :  L'emplacement de montage standard est sur le montant</w:t>
      </w:r>
    </w:p>
    <w:p w14:paraId="0A1D2440" w14:textId="77777777" w:rsidR="002D7228" w:rsidRPr="006F1B31" w:rsidRDefault="00C8126D" w:rsidP="002960DD">
      <w:pPr>
        <w:pStyle w:val="PR3"/>
        <w:jc w:val="both"/>
      </w:pPr>
      <w:r>
        <w:t>Montage du sélecteur de mode :  La commande doit être montée tel qu’indiqué :</w:t>
      </w:r>
    </w:p>
    <w:p w14:paraId="1B045F2E" w14:textId="77777777" w:rsidR="002D7228" w:rsidRPr="00982410" w:rsidRDefault="00C8126D" w:rsidP="002960DD">
      <w:pPr>
        <w:pStyle w:val="PR4"/>
        <w:jc w:val="both"/>
        <w:rPr>
          <w:rFonts w:cs="Arial"/>
          <w:szCs w:val="22"/>
        </w:rPr>
      </w:pPr>
      <w:r>
        <w:rPr>
          <w:highlight w:val="yellow"/>
        </w:rPr>
        <w:t>[Monté sur un montant.]</w:t>
      </w:r>
    </w:p>
    <w:p w14:paraId="11C41678" w14:textId="77777777" w:rsidR="00982410" w:rsidRPr="00982410" w:rsidRDefault="00C8126D" w:rsidP="002960DD">
      <w:pPr>
        <w:pStyle w:val="PR4"/>
        <w:jc w:val="both"/>
        <w:rPr>
          <w:rFonts w:cs="Arial"/>
          <w:szCs w:val="22"/>
        </w:rPr>
      </w:pPr>
      <w:r>
        <w:rPr>
          <w:highlight w:val="yellow"/>
        </w:rPr>
        <w:t>[Monté à distance.]</w:t>
      </w:r>
    </w:p>
    <w:p w14:paraId="2A9EBA42" w14:textId="77777777" w:rsidR="00C92E07" w:rsidRPr="006F1B31" w:rsidRDefault="00C8126D" w:rsidP="002960DD">
      <w:pPr>
        <w:pStyle w:val="PR3"/>
        <w:jc w:val="both"/>
      </w:pPr>
      <w:r>
        <w:t>Sélecteur de mode permettant les fonctions suivantes :</w:t>
      </w:r>
    </w:p>
    <w:p w14:paraId="265C4674" w14:textId="77777777" w:rsidR="00C92E07" w:rsidRPr="006F1B31" w:rsidRDefault="00C8126D" w:rsidP="002960DD">
      <w:pPr>
        <w:pStyle w:val="PR4"/>
        <w:jc w:val="both"/>
      </w:pPr>
      <w:r>
        <w:t>« Arrêt »</w:t>
      </w:r>
    </w:p>
    <w:p w14:paraId="3D0786C4" w14:textId="77777777" w:rsidR="00C92E07" w:rsidRPr="006F1B31" w:rsidRDefault="00C8126D" w:rsidP="002960DD">
      <w:pPr>
        <w:pStyle w:val="PR4"/>
        <w:jc w:val="both"/>
      </w:pPr>
      <w:r>
        <w:t>« Sortie uniquement » : circulation à sens unique avec fonctionnement automatique depuis l'intérieur.</w:t>
      </w:r>
    </w:p>
    <w:p w14:paraId="64C9D0A3" w14:textId="77777777" w:rsidR="00C92E07" w:rsidRPr="006F1B31" w:rsidRDefault="00C8126D" w:rsidP="002960DD">
      <w:pPr>
        <w:pStyle w:val="PR4"/>
        <w:jc w:val="both"/>
      </w:pPr>
      <w:r>
        <w:t>« Circulation bidirectionnelle » : permet le fonctionnement automatique depuis l'extérieur et l'intérieur.</w:t>
      </w:r>
    </w:p>
    <w:p w14:paraId="2D55E956" w14:textId="77777777" w:rsidR="00C92E07" w:rsidRPr="006F1B31" w:rsidRDefault="00C8126D" w:rsidP="002960DD">
      <w:pPr>
        <w:pStyle w:val="PR4"/>
        <w:jc w:val="both"/>
      </w:pPr>
      <w:r>
        <w:t>La position de porte à économie d'énergie s'appelle « ouverture partielle ». Elle permet à la porte d'ajuster automatiquement la largeur d'ouverture en fonction de la fréquence d'utilisation. Autrement dit, la porte est complètement ouverte quand elle est utilisée de manière intensive et partiellement ouverte quand elle est utilisée de manière réduite. Vous pouvez programmer ce réglage. Cela vous permet d'ajuster deux éléments : le réglage d'utilisation et la largeur d'ouverture.</w:t>
      </w:r>
    </w:p>
    <w:p w14:paraId="53E56634" w14:textId="77777777" w:rsidR="00C92E07" w:rsidRPr="006F1B31" w:rsidRDefault="00C8126D" w:rsidP="002960DD">
      <w:pPr>
        <w:pStyle w:val="PR4"/>
        <w:jc w:val="both"/>
      </w:pPr>
      <w:r>
        <w:t>« Maintien en position ouverte » : les portes sont activées et maintenues en position complètement ouverte.</w:t>
      </w:r>
    </w:p>
    <w:p w14:paraId="228EAA31" w14:textId="77777777" w:rsidR="00C92E07" w:rsidRPr="006F1B31" w:rsidRDefault="00C8126D" w:rsidP="002960DD">
      <w:pPr>
        <w:pStyle w:val="ART"/>
        <w:jc w:val="both"/>
      </w:pPr>
      <w:r>
        <w:t>DISPOSITIFS DE COMMANDE D'ACTIVATION ET DE SÉCURITÉ</w:t>
      </w:r>
    </w:p>
    <w:p w14:paraId="5623D059" w14:textId="77777777" w:rsidR="00C92E07" w:rsidRPr="006F1B31" w:rsidRDefault="00C8126D" w:rsidP="002960DD">
      <w:pPr>
        <w:pStyle w:val="PR1"/>
      </w:pPr>
      <w:r>
        <w:t>Généralités :  Les dispositifs d'activation et de sécurité fournis doivent répondre aux normes ANSI/BHMA, s'adapter aux conditions d'exposition et garantir un fonctionnement à long terme sans entretien dans des conditions de fréquentation normales pour le type d'occupation indiqué.  Coordonner les dispositifs d'activation et de sécurité avec le fonctionnement des portes et les mécanismes des opérateurs de porte.</w:t>
      </w:r>
    </w:p>
    <w:p w14:paraId="36FCC92A" w14:textId="77777777" w:rsidR="003F2F05" w:rsidRPr="001D6B90" w:rsidRDefault="00C8126D" w:rsidP="002960DD">
      <w:pPr>
        <w:pStyle w:val="PRT"/>
        <w:numPr>
          <w:ilvl w:val="0"/>
          <w:numId w:val="0"/>
        </w:numPr>
        <w:spacing w:before="120" w:after="120"/>
        <w:jc w:val="both"/>
        <w:rPr>
          <w:b/>
          <w:i/>
          <w:highlight w:val="lightGray"/>
          <w:u w:val="single"/>
        </w:rPr>
      </w:pPr>
      <w:bookmarkStart w:id="3" w:name="_Hlk182321671"/>
      <w:r>
        <w:rPr>
          <w:b/>
          <w:i/>
          <w:highlight w:val="lightGray"/>
          <w:u w:val="single"/>
        </w:rPr>
        <w:t>REMARQUE :  L'activation par combinaison du détecteur de mouvement et du capteur de sécurité constitue le mode d'activation et de sécurité par défaut du fabricant</w:t>
      </w:r>
    </w:p>
    <w:bookmarkEnd w:id="3"/>
    <w:p w14:paraId="1ABE1A24" w14:textId="77777777" w:rsidR="00035563" w:rsidRPr="006F1B31" w:rsidRDefault="00C8126D" w:rsidP="002960DD">
      <w:pPr>
        <w:pStyle w:val="PR1"/>
      </w:pPr>
      <w:r>
        <w:t>Capteur combiné d'activation par détection de mouvement et de présence :</w:t>
      </w:r>
    </w:p>
    <w:p w14:paraId="09FD8E4E" w14:textId="77777777" w:rsidR="003F5A1A" w:rsidRPr="006F1B31" w:rsidRDefault="00C8126D" w:rsidP="002960DD">
      <w:pPr>
        <w:pStyle w:val="PR2"/>
      </w:pPr>
      <w:r>
        <w:t xml:space="preserve">Le capteur de porte coulissante est équipé d'une technologie micro-ondes en bande K pour la détection des mouvements et d'une technologie infrarouge </w:t>
      </w:r>
      <w:r>
        <w:lastRenderedPageBreak/>
        <w:t>active focalisée pour la détection de la présence. Ces deux fonctionnalités sont intégrées dans un boîtier unique monté en surface de chaque côté du linteau.</w:t>
      </w:r>
    </w:p>
    <w:p w14:paraId="5F48F4CA" w14:textId="77777777" w:rsidR="003F5A1A" w:rsidRPr="006F1B31" w:rsidRDefault="00C8126D" w:rsidP="002960DD">
      <w:pPr>
        <w:pStyle w:val="PR3"/>
        <w:jc w:val="both"/>
      </w:pPr>
      <w:r>
        <w:t>Le capteur de présence doit rester actif en permanence.</w:t>
      </w:r>
    </w:p>
    <w:p w14:paraId="0CE3DAE7" w14:textId="77777777" w:rsidR="003F5A1A" w:rsidRPr="006F1B31" w:rsidRDefault="00C8126D" w:rsidP="002960DD">
      <w:pPr>
        <w:pStyle w:val="PR3"/>
        <w:jc w:val="both"/>
      </w:pPr>
      <w:r>
        <w:t>Une connexion à autosurveillance doit permettre au capteur de communiquer avec l'opérateur de porte automatique. En cas de défaillance du capteur, la porte ne peut pas se fermer, car elle passe en mode de sécurité intégrée.</w:t>
      </w:r>
    </w:p>
    <w:p w14:paraId="1C518A84" w14:textId="77777777" w:rsidR="00C92E07" w:rsidRDefault="00C8126D" w:rsidP="002960DD">
      <w:pPr>
        <w:pStyle w:val="PR2"/>
      </w:pPr>
      <w:r>
        <w:t>Les capteurs de détection de mouvement/présence doivent être installés et réglés sur place.</w:t>
      </w:r>
    </w:p>
    <w:p w14:paraId="7F3B9F13" w14:textId="77777777" w:rsidR="004C0C28" w:rsidRPr="00CD6EE2" w:rsidRDefault="00C8126D" w:rsidP="002960DD">
      <w:pPr>
        <w:pStyle w:val="PR1"/>
        <w:rPr>
          <w:highlight w:val="yellow"/>
        </w:rPr>
      </w:pPr>
      <w:r>
        <w:rPr>
          <w:highlight w:val="yellow"/>
        </w:rPr>
        <w:t>[Détecteurs de présence de sécurité :]</w:t>
      </w:r>
    </w:p>
    <w:p w14:paraId="2D5293CA" w14:textId="77777777" w:rsidR="004C0C28" w:rsidRPr="00012AA4" w:rsidRDefault="00C8126D" w:rsidP="002960DD">
      <w:pPr>
        <w:pStyle w:val="PRT"/>
        <w:numPr>
          <w:ilvl w:val="0"/>
          <w:numId w:val="0"/>
        </w:numPr>
        <w:spacing w:before="120" w:after="120"/>
        <w:jc w:val="both"/>
        <w:rPr>
          <w:b/>
          <w:i/>
          <w:u w:val="single"/>
        </w:rPr>
      </w:pPr>
      <w:r>
        <w:rPr>
          <w:b/>
          <w:i/>
          <w:highlight w:val="lightGray"/>
          <w:u w:val="single"/>
        </w:rPr>
        <w:t xml:space="preserve">REMARQUE :  Les barrières photoélectriques de sécurité sont proposées en option </w:t>
      </w:r>
    </w:p>
    <w:p w14:paraId="53FC77D6" w14:textId="77777777" w:rsidR="004C0C28" w:rsidRPr="00CD6EE2" w:rsidRDefault="00C8126D" w:rsidP="002960DD">
      <w:pPr>
        <w:pStyle w:val="PR2"/>
        <w:rPr>
          <w:highlight w:val="yellow"/>
        </w:rPr>
      </w:pPr>
      <w:r>
        <w:rPr>
          <w:highlight w:val="yellow"/>
        </w:rPr>
        <w:t xml:space="preserve">Barrières de sécurité photoélectriques :  Il doit y avoir deux (2) ensembles émetteur/récepteur équipés de faisceaux photoélectriques infrarouges actifs destinés à arrêter le mouvement de la porte en cas de rupture du faisceau.  </w:t>
      </w:r>
    </w:p>
    <w:p w14:paraId="178E2336" w14:textId="77777777" w:rsidR="004C0C28" w:rsidRDefault="00C8126D" w:rsidP="002960DD">
      <w:pPr>
        <w:pStyle w:val="PR3"/>
        <w:jc w:val="both"/>
        <w:rPr>
          <w:highlight w:val="yellow"/>
        </w:rPr>
      </w:pPr>
      <w:r>
        <w:rPr>
          <w:highlight w:val="yellow"/>
        </w:rPr>
        <w:t>Les faisceaux de sécurité ne doivent pas être actifs lorsque les portes sont complètement fermées.</w:t>
      </w:r>
    </w:p>
    <w:p w14:paraId="42E9999F" w14:textId="77777777" w:rsidR="004C0C28" w:rsidRPr="006F1B31" w:rsidRDefault="00C8126D" w:rsidP="002960DD">
      <w:pPr>
        <w:pStyle w:val="PR3"/>
        <w:jc w:val="both"/>
      </w:pPr>
      <w:r>
        <w:rPr>
          <w:highlight w:val="yellow"/>
        </w:rPr>
        <w:t>Les faisceaux de sécurité doivent être installés sur chaque cadre de porte aux emplacements spécifiés dans la norme ANSI A156.10.</w:t>
      </w:r>
    </w:p>
    <w:p w14:paraId="16B73BC9" w14:textId="77777777" w:rsidR="007C3A91" w:rsidRDefault="00C8126D" w:rsidP="002960DD">
      <w:pPr>
        <w:pStyle w:val="PRT"/>
        <w:numPr>
          <w:ilvl w:val="0"/>
          <w:numId w:val="0"/>
        </w:numPr>
        <w:spacing w:before="120" w:after="120"/>
        <w:jc w:val="both"/>
        <w:rPr>
          <w:rFonts w:cs="Arial"/>
          <w:b/>
          <w:i/>
          <w:szCs w:val="22"/>
          <w:u w:val="single"/>
        </w:rPr>
      </w:pPr>
      <w:bookmarkStart w:id="4" w:name="_Hlk182321370"/>
      <w:r>
        <w:rPr>
          <w:b/>
          <w:i/>
          <w:highlight w:val="lightGray"/>
          <w:u w:val="single"/>
        </w:rPr>
        <w:t>REMARQUE :  Consultez SpecDesk pour connaître les options de dispositifs d</w:t>
      </w:r>
      <w:proofErr w:type="gramStart"/>
      <w:r>
        <w:rPr>
          <w:b/>
          <w:i/>
          <w:highlight w:val="lightGray"/>
          <w:u w:val="single"/>
        </w:rPr>
        <w:t>’«</w:t>
      </w:r>
      <w:proofErr w:type="gramEnd"/>
      <w:r>
        <w:rPr>
          <w:b/>
          <w:i/>
          <w:highlight w:val="lightGray"/>
          <w:u w:val="single"/>
        </w:rPr>
        <w:t xml:space="preserve"> activation par action consciente ».  Exemple : plaques de poussée</w:t>
      </w:r>
    </w:p>
    <w:p w14:paraId="0E7D4B64" w14:textId="77777777" w:rsidR="007C3A91" w:rsidRDefault="00C8126D" w:rsidP="002960DD">
      <w:pPr>
        <w:pStyle w:val="PRT"/>
        <w:numPr>
          <w:ilvl w:val="0"/>
          <w:numId w:val="0"/>
        </w:numPr>
        <w:spacing w:before="120" w:after="120"/>
        <w:jc w:val="both"/>
        <w:rPr>
          <w:b/>
          <w:i/>
          <w:u w:val="single"/>
        </w:rPr>
      </w:pPr>
      <w:r>
        <w:rPr>
          <w:b/>
          <w:i/>
          <w:highlight w:val="lightGray"/>
          <w:u w:val="single"/>
        </w:rPr>
        <w:t>REMARQUE :  Sélectionner le type de dispositif d'activation par action consciente si le projet l'exige</w:t>
      </w:r>
    </w:p>
    <w:p w14:paraId="77C1E5BC" w14:textId="77777777" w:rsidR="007C3A91" w:rsidRPr="00E35432" w:rsidRDefault="00C8126D" w:rsidP="002960DD">
      <w:pPr>
        <w:pStyle w:val="PR1"/>
        <w:rPr>
          <w:highlight w:val="yellow"/>
        </w:rPr>
      </w:pPr>
      <w:r>
        <w:rPr>
          <w:highlight w:val="yellow"/>
        </w:rPr>
        <w:t xml:space="preserve">[Dispositif d'activation par action consciente :]   </w:t>
      </w:r>
    </w:p>
    <w:p w14:paraId="64975628" w14:textId="77777777" w:rsidR="007C3A91" w:rsidRPr="002E5908" w:rsidRDefault="00C8126D" w:rsidP="002960DD">
      <w:pPr>
        <w:pStyle w:val="PR2"/>
      </w:pPr>
      <w:r>
        <w:rPr>
          <w:highlight w:val="yellow"/>
        </w:rPr>
        <w:t>[Plaque poussoir :</w:t>
      </w:r>
      <w:r>
        <w:t xml:space="preserve">  </w:t>
      </w:r>
      <w:r>
        <w:rPr>
          <w:highlight w:val="yellow"/>
        </w:rPr>
        <w:t>Plaque frontale en acier inoxydable, formats [carré 4-1/2 po] [rond 4-1/2 po] [rond 6 po], gravée avec le texte « Push to Open » en bleu et un logo ADA, câblée.]</w:t>
      </w:r>
    </w:p>
    <w:p w14:paraId="1CD115EC" w14:textId="77777777" w:rsidR="007C3A91" w:rsidRPr="002E5908" w:rsidRDefault="00C8126D" w:rsidP="002960DD">
      <w:pPr>
        <w:pStyle w:val="PR2"/>
      </w:pPr>
      <w:r>
        <w:rPr>
          <w:highlight w:val="yellow"/>
        </w:rPr>
        <w:t>[Plaque poussoir :  Plaque poussoir montée sur montant, 1-1/2 po x 4-1/2 po, plaque frontale en acier inoxydable gravée du texte « Push to Open » en bleu et d’un logo ADA, câblée.]</w:t>
      </w:r>
    </w:p>
    <w:p w14:paraId="1C42CCF6" w14:textId="77777777" w:rsidR="007C3A91" w:rsidRPr="009F36D4" w:rsidRDefault="00C8126D" w:rsidP="002960DD">
      <w:pPr>
        <w:pStyle w:val="PR2"/>
      </w:pPr>
      <w:r>
        <w:rPr>
          <w:highlight w:val="yellow"/>
        </w:rPr>
        <w:t>[Plaque poussoir sans fil :  Plaque frontale en acier inoxydable, formats</w:t>
      </w:r>
      <w:r>
        <w:t xml:space="preserve"> </w:t>
      </w:r>
      <w:r>
        <w:rPr>
          <w:highlight w:val="yellow"/>
        </w:rPr>
        <w:t>[carré 4-1/2 po]</w:t>
      </w:r>
      <w:r>
        <w:t xml:space="preserve"> </w:t>
      </w:r>
      <w:r>
        <w:rPr>
          <w:highlight w:val="yellow"/>
        </w:rPr>
        <w:t>[rond 4-1/2 po]</w:t>
      </w:r>
      <w:r>
        <w:t xml:space="preserve"> </w:t>
      </w:r>
      <w:r>
        <w:rPr>
          <w:highlight w:val="yellow"/>
        </w:rPr>
        <w:t>[rond 6 po]</w:t>
      </w:r>
      <w:r>
        <w:t xml:space="preserve">, </w:t>
      </w:r>
      <w:r>
        <w:rPr>
          <w:highlight w:val="yellow"/>
        </w:rPr>
        <w:t>gravée avec le texte « Push to Open » en bleu et un logo ADA, à commande radio.]</w:t>
      </w:r>
    </w:p>
    <w:p w14:paraId="49BDC51F" w14:textId="77777777" w:rsidR="007C3A91" w:rsidRPr="009F36D4" w:rsidRDefault="00C8126D" w:rsidP="002960DD">
      <w:pPr>
        <w:pStyle w:val="PR2"/>
      </w:pPr>
      <w:r>
        <w:rPr>
          <w:highlight w:val="yellow"/>
        </w:rPr>
        <w:t>[Plaque poussoir pour vestibule :  Plaque de 4-1/2 po carrée avec double plaque frontale en acier inoxydable et interrupteurs poussoirs, câblée.  Chaque plaque frontale gravée du texte « Push to Open » en bleu, d’un logo ADA et de flèches directionnelles pointant dans des directions opposées.]</w:t>
      </w:r>
    </w:p>
    <w:p w14:paraId="1040023E" w14:textId="77777777" w:rsidR="007C3A91" w:rsidRPr="00784F3B" w:rsidRDefault="00C8126D" w:rsidP="002960DD">
      <w:pPr>
        <w:pStyle w:val="PR2"/>
      </w:pPr>
      <w:r>
        <w:rPr>
          <w:highlight w:val="yellow"/>
        </w:rPr>
        <w:t xml:space="preserve">[Interrupteur sans contact </w:t>
      </w:r>
      <w:proofErr w:type="gramStart"/>
      <w:r>
        <w:rPr>
          <w:highlight w:val="yellow"/>
        </w:rPr>
        <w:t>:</w:t>
      </w:r>
      <w:r>
        <w:t xml:space="preserve">  </w:t>
      </w:r>
      <w:r>
        <w:rPr>
          <w:highlight w:val="yellow"/>
        </w:rPr>
        <w:t>[</w:t>
      </w:r>
      <w:proofErr w:type="gramEnd"/>
      <w:r>
        <w:rPr>
          <w:highlight w:val="yellow"/>
        </w:rPr>
        <w:t>Montées sur montant 1-1/2 po x 4-1/2 po]</w:t>
      </w:r>
      <w:r>
        <w:t xml:space="preserve"> </w:t>
      </w:r>
      <w:r>
        <w:rPr>
          <w:highlight w:val="yellow"/>
        </w:rPr>
        <w:t>[2-3/4 po x 4-1/2 po]</w:t>
      </w:r>
      <w:r>
        <w:t xml:space="preserve"> </w:t>
      </w:r>
      <w:r>
        <w:rPr>
          <w:highlight w:val="yellow"/>
        </w:rPr>
        <w:t>[carré 4-1/2 po]</w:t>
      </w:r>
      <w:r>
        <w:t xml:space="preserve"> </w:t>
      </w:r>
      <w:r>
        <w:rPr>
          <w:highlight w:val="yellow"/>
        </w:rPr>
        <w:t>[plaque frontale en polycarbonate noir avec texte « Wave to Open » en blanc et pictogramme de main]</w:t>
      </w:r>
      <w:r>
        <w:t xml:space="preserve"> </w:t>
      </w:r>
      <w:r>
        <w:rPr>
          <w:highlight w:val="yellow"/>
        </w:rPr>
        <w:t xml:space="preserve">[plaque frontale en polycarbonate blanc avec texte « Wave to Open » en noir et pictogramme de </w:t>
      </w:r>
      <w:r>
        <w:rPr>
          <w:highlight w:val="yellow"/>
        </w:rPr>
        <w:lastRenderedPageBreak/>
        <w:t>main]</w:t>
      </w:r>
      <w:r>
        <w:t xml:space="preserve">, </w:t>
      </w:r>
      <w:r>
        <w:rPr>
          <w:highlight w:val="yellow"/>
        </w:rPr>
        <w:t>câblées.  La technologie micro‑ondes offre une portée ajustable de 4 pouces à 24 pouces.]</w:t>
      </w:r>
    </w:p>
    <w:p w14:paraId="02A2BF0C" w14:textId="77777777" w:rsidR="007C3A91" w:rsidRDefault="00C8126D" w:rsidP="002960DD">
      <w:pPr>
        <w:pStyle w:val="PR2"/>
      </w:pPr>
      <w:r>
        <w:rPr>
          <w:highlight w:val="yellow"/>
        </w:rPr>
        <w:t xml:space="preserve">[Interrupteur sans contact </w:t>
      </w:r>
      <w:proofErr w:type="gramStart"/>
      <w:r>
        <w:rPr>
          <w:highlight w:val="yellow"/>
        </w:rPr>
        <w:t>:</w:t>
      </w:r>
      <w:r>
        <w:t xml:space="preserve">  </w:t>
      </w:r>
      <w:r>
        <w:rPr>
          <w:highlight w:val="yellow"/>
        </w:rPr>
        <w:t>[</w:t>
      </w:r>
      <w:proofErr w:type="gramEnd"/>
      <w:r>
        <w:rPr>
          <w:highlight w:val="yellow"/>
        </w:rPr>
        <w:t>Montées sur montant 1-1/2 po x 4-1/2 po]</w:t>
      </w:r>
      <w:r>
        <w:t xml:space="preserve"> </w:t>
      </w:r>
      <w:r>
        <w:rPr>
          <w:highlight w:val="yellow"/>
        </w:rPr>
        <w:t>[2-3/4 po x 4-1/2 po]</w:t>
      </w:r>
      <w:r>
        <w:t xml:space="preserve"> </w:t>
      </w:r>
      <w:r>
        <w:rPr>
          <w:highlight w:val="yellow"/>
        </w:rPr>
        <w:t>[carré 4-1/2 po]</w:t>
      </w:r>
      <w:r>
        <w:t xml:space="preserve"> </w:t>
      </w:r>
      <w:r>
        <w:rPr>
          <w:highlight w:val="yellow"/>
        </w:rPr>
        <w:t>plaque frontale en acier inoxydable, texte « Wave to Open » en noir, plaque de détection noire avec pictogramme de main en blanc, câblées.  La technologie micro‑ondes offre une portée ajustable de 4 pouces à 24 pouces.]</w:t>
      </w:r>
      <w:r>
        <w:t xml:space="preserve">  </w:t>
      </w:r>
    </w:p>
    <w:p w14:paraId="3887DD84" w14:textId="77777777" w:rsidR="007C3A91" w:rsidRPr="006E29A2" w:rsidRDefault="00C8126D" w:rsidP="002960DD">
      <w:pPr>
        <w:pStyle w:val="PR2"/>
      </w:pPr>
      <w:r>
        <w:rPr>
          <w:highlight w:val="yellow"/>
        </w:rPr>
        <w:t>[Colonne d’activation verticale :  Colonne d’activation verticale permettant l’activation de la porte automatique depuis toute approche et à tout niveau de hauteur le long du profil vertical.]</w:t>
      </w:r>
    </w:p>
    <w:p w14:paraId="4F49E699" w14:textId="77777777" w:rsidR="007C3A91" w:rsidRPr="003D1007" w:rsidRDefault="00C8126D" w:rsidP="002960DD">
      <w:pPr>
        <w:pStyle w:val="PR3"/>
        <w:jc w:val="both"/>
        <w:rPr>
          <w:highlight w:val="yellow"/>
        </w:rPr>
      </w:pPr>
      <w:r>
        <w:rPr>
          <w:highlight w:val="yellow"/>
        </w:rPr>
        <w:t>Dimensions :  Hauteur de 36" x largeur de 6", avec une saillie maximale de 1-1/2" à partir du mur.</w:t>
      </w:r>
    </w:p>
    <w:p w14:paraId="61205DA9" w14:textId="77777777" w:rsidR="007C3A91" w:rsidRPr="00C01768" w:rsidRDefault="00C8126D" w:rsidP="00847B29">
      <w:pPr>
        <w:pStyle w:val="PR3"/>
        <w:jc w:val="both"/>
        <w:rPr>
          <w:highlight w:val="yellow"/>
        </w:rPr>
      </w:pPr>
      <w:r>
        <w:rPr>
          <w:highlight w:val="yellow"/>
        </w:rPr>
        <w:t>Graphiques :  Gravée du texte « Push to Open » en bleu et d’un logo ADA.</w:t>
      </w:r>
    </w:p>
    <w:p w14:paraId="31B613AE" w14:textId="77777777" w:rsidR="007C3A91" w:rsidRPr="003D1007" w:rsidRDefault="00C8126D" w:rsidP="002960DD">
      <w:pPr>
        <w:pStyle w:val="PR3"/>
        <w:jc w:val="both"/>
        <w:rPr>
          <w:highlight w:val="yellow"/>
        </w:rPr>
      </w:pPr>
      <w:r>
        <w:rPr>
          <w:highlight w:val="yellow"/>
        </w:rPr>
        <w:t>Montage résistant au vandalisme.</w:t>
      </w:r>
    </w:p>
    <w:p w14:paraId="311DDAA5" w14:textId="77777777" w:rsidR="007C3A91" w:rsidRPr="003D1007" w:rsidRDefault="00C8126D" w:rsidP="002960DD">
      <w:pPr>
        <w:pStyle w:val="PR3"/>
        <w:jc w:val="both"/>
        <w:rPr>
          <w:highlight w:val="yellow"/>
        </w:rPr>
      </w:pPr>
      <w:r>
        <w:rPr>
          <w:highlight w:val="yellow"/>
        </w:rPr>
        <w:t>Acier inoxydable :  Type 304, épaisseur nominale tôle calibre 18/19.</w:t>
      </w:r>
    </w:p>
    <w:p w14:paraId="6159BD03" w14:textId="77777777" w:rsidR="007C3A91" w:rsidRPr="003D1007" w:rsidRDefault="00C8126D" w:rsidP="002960DD">
      <w:pPr>
        <w:pStyle w:val="PR4"/>
        <w:jc w:val="both"/>
        <w:rPr>
          <w:highlight w:val="yellow"/>
        </w:rPr>
      </w:pPr>
      <w:r>
        <w:rPr>
          <w:highlight w:val="yellow"/>
        </w:rPr>
        <w:t xml:space="preserve">Fini acier inoxydable :  Satiné US32D. </w:t>
      </w:r>
    </w:p>
    <w:p w14:paraId="4AB50A75" w14:textId="77777777" w:rsidR="007C3A91" w:rsidRDefault="00C8126D" w:rsidP="002960DD">
      <w:pPr>
        <w:pStyle w:val="PR3"/>
        <w:jc w:val="both"/>
        <w:rPr>
          <w:highlight w:val="yellow"/>
        </w:rPr>
      </w:pPr>
      <w:r>
        <w:rPr>
          <w:highlight w:val="yellow"/>
        </w:rPr>
        <w:t xml:space="preserve">Câblage direct :  Câblé depuis une boîte de jonction encastrée. </w:t>
      </w:r>
    </w:p>
    <w:p w14:paraId="1E5F19B3" w14:textId="77777777" w:rsidR="007C3A91" w:rsidRDefault="00C8126D" w:rsidP="002960DD">
      <w:pPr>
        <w:pStyle w:val="PRT"/>
        <w:numPr>
          <w:ilvl w:val="0"/>
          <w:numId w:val="0"/>
        </w:numPr>
        <w:spacing w:before="120" w:after="120"/>
        <w:jc w:val="both"/>
        <w:rPr>
          <w:b/>
          <w:i/>
          <w:u w:val="single"/>
        </w:rPr>
      </w:pPr>
      <w:r>
        <w:rPr>
          <w:b/>
          <w:i/>
          <w:highlight w:val="lightGray"/>
          <w:u w:val="single"/>
        </w:rPr>
        <w:t>REMARQUE :  Conserver soit la « colonne d’activation verticale » ci‑dessus ou ce qui suit lorsque le code exige que les plaques poussoirs soient installées à une position haute et basse ou lorsque cela est requis par le projet</w:t>
      </w:r>
      <w:r>
        <w:rPr>
          <w:b/>
          <w:i/>
          <w:u w:val="single"/>
        </w:rPr>
        <w:t xml:space="preserve">  </w:t>
      </w:r>
    </w:p>
    <w:p w14:paraId="4169B0C8" w14:textId="77777777" w:rsidR="007C3A91" w:rsidRDefault="00C8126D" w:rsidP="002960DD">
      <w:pPr>
        <w:pStyle w:val="PRT"/>
        <w:numPr>
          <w:ilvl w:val="0"/>
          <w:numId w:val="0"/>
        </w:numPr>
        <w:spacing w:before="120" w:after="120"/>
        <w:jc w:val="both"/>
        <w:rPr>
          <w:b/>
          <w:i/>
          <w:u w:val="single"/>
        </w:rPr>
      </w:pPr>
      <w:r>
        <w:rPr>
          <w:b/>
          <w:i/>
          <w:highlight w:val="lightGray"/>
          <w:u w:val="single"/>
        </w:rPr>
        <w:t>REMARQUE :  Supprimer ce qui suit si la colonne d’activation verticale est conservée ci‑dessus</w:t>
      </w:r>
      <w:r>
        <w:rPr>
          <w:b/>
          <w:i/>
          <w:u w:val="single"/>
        </w:rPr>
        <w:t xml:space="preserve">  </w:t>
      </w:r>
    </w:p>
    <w:bookmarkEnd w:id="4"/>
    <w:p w14:paraId="0EAFD0CF" w14:textId="77777777" w:rsidR="00676103" w:rsidRPr="00676103" w:rsidRDefault="00C8126D" w:rsidP="002960DD">
      <w:pPr>
        <w:pStyle w:val="PR2"/>
        <w:rPr>
          <w:highlight w:val="yellow"/>
        </w:rPr>
      </w:pPr>
      <w:r>
        <w:rPr>
          <w:highlight w:val="yellow"/>
        </w:rPr>
        <w:t>[Montage :  Les plaques poussoirs doivent être installées à la fois en position haute et en position basse, aux hauteurs et emplacements requis par le code du bâtiment.]</w:t>
      </w:r>
    </w:p>
    <w:p w14:paraId="09EA5B1C" w14:textId="77777777" w:rsidR="00676103" w:rsidRDefault="00C8126D" w:rsidP="002960DD">
      <w:pPr>
        <w:pStyle w:val="PRT"/>
        <w:numPr>
          <w:ilvl w:val="0"/>
          <w:numId w:val="0"/>
        </w:numPr>
        <w:spacing w:before="120" w:after="120"/>
        <w:jc w:val="both"/>
        <w:rPr>
          <w:b/>
          <w:i/>
          <w:u w:val="single"/>
        </w:rPr>
      </w:pPr>
      <w:r>
        <w:rPr>
          <w:b/>
          <w:i/>
          <w:highlight w:val="lightGray"/>
          <w:u w:val="single"/>
        </w:rPr>
        <w:t>REMARQUE :  Conserver ce qui suit lorsque l’activation par lecteur de cartes ou clavier est requise</w:t>
      </w:r>
      <w:r>
        <w:rPr>
          <w:b/>
          <w:i/>
          <w:u w:val="single"/>
        </w:rPr>
        <w:t xml:space="preserve"> </w:t>
      </w:r>
    </w:p>
    <w:p w14:paraId="7EB606B4" w14:textId="77777777" w:rsidR="00676103" w:rsidRPr="00BC664C" w:rsidRDefault="00C8126D" w:rsidP="002960DD">
      <w:pPr>
        <w:pStyle w:val="PR1"/>
        <w:rPr>
          <w:highlight w:val="yellow"/>
        </w:rPr>
      </w:pPr>
      <w:r>
        <w:rPr>
          <w:highlight w:val="yellow"/>
        </w:rPr>
        <w:t>[Activation par lecteur de cartes :]</w:t>
      </w:r>
      <w:r>
        <w:t xml:space="preserve"> </w:t>
      </w:r>
      <w:r>
        <w:rPr>
          <w:highlight w:val="yellow"/>
        </w:rPr>
        <w:t>[Activation par clavier :]</w:t>
      </w:r>
    </w:p>
    <w:p w14:paraId="282C16D0" w14:textId="77777777" w:rsidR="00676103" w:rsidRPr="00BC664C" w:rsidRDefault="00C8126D" w:rsidP="002960DD">
      <w:pPr>
        <w:pStyle w:val="PR2"/>
        <w:rPr>
          <w:highlight w:val="yellow"/>
        </w:rPr>
      </w:pPr>
      <w:r>
        <w:rPr>
          <w:highlight w:val="yellow"/>
        </w:rPr>
        <w:t>[Lecteur de carte]</w:t>
      </w:r>
      <w:r>
        <w:t xml:space="preserve"> </w:t>
      </w:r>
      <w:r>
        <w:rPr>
          <w:highlight w:val="yellow"/>
        </w:rPr>
        <w:t>[Clavier]</w:t>
      </w:r>
      <w:r>
        <w:t xml:space="preserve"> </w:t>
      </w:r>
      <w:r>
        <w:rPr>
          <w:highlight w:val="yellow"/>
        </w:rPr>
        <w:t>permettant de transmettre le signal d'activation du cycle d'ouverture de la porte d'entrée automatique coulissante.]</w:t>
      </w:r>
    </w:p>
    <w:p w14:paraId="3E73E0EF" w14:textId="77777777" w:rsidR="00676103" w:rsidRPr="00BC664C" w:rsidRDefault="00C8126D" w:rsidP="002960DD">
      <w:pPr>
        <w:pStyle w:val="PR2"/>
        <w:rPr>
          <w:highlight w:val="yellow"/>
        </w:rPr>
      </w:pPr>
      <w:r>
        <w:rPr>
          <w:highlight w:val="yellow"/>
        </w:rPr>
        <w:t>[Lecteur de cartes]</w:t>
      </w:r>
      <w:r>
        <w:t xml:space="preserve"> </w:t>
      </w:r>
      <w:r>
        <w:rPr>
          <w:highlight w:val="yellow"/>
        </w:rPr>
        <w:t>[Clavier]</w:t>
      </w:r>
      <w:r>
        <w:t xml:space="preserve"> </w:t>
      </w:r>
      <w:r>
        <w:rPr>
          <w:highlight w:val="yellow"/>
        </w:rPr>
        <w:t>pour activer le fonctionnement de la plaque poussoir.]</w:t>
      </w:r>
    </w:p>
    <w:p w14:paraId="7E891394" w14:textId="77777777" w:rsidR="00676103" w:rsidRPr="002D294C" w:rsidRDefault="00C8126D" w:rsidP="002960DD">
      <w:pPr>
        <w:pStyle w:val="PR3"/>
        <w:jc w:val="both"/>
      </w:pPr>
      <w:r>
        <w:t>La plaque de poussée fournit le signal d'activation du cycle d'ouverture de la porte d'entrée coulissante automatique.</w:t>
      </w:r>
    </w:p>
    <w:p w14:paraId="6BC0FE0A" w14:textId="77777777" w:rsidR="00676103" w:rsidRPr="007F655A" w:rsidRDefault="00C8126D" w:rsidP="002960DD">
      <w:pPr>
        <w:pStyle w:val="PR2"/>
      </w:pPr>
      <w:r>
        <w:t>Les systèmes de contrôle d’accès, incluant les lecteurs de cartes et/ou les claviers, doivent être fournis par d’autres.</w:t>
      </w:r>
    </w:p>
    <w:p w14:paraId="65DEA76A" w14:textId="77777777" w:rsidR="00676103" w:rsidRPr="006F1B31" w:rsidRDefault="00C8126D" w:rsidP="002960DD">
      <w:pPr>
        <w:pStyle w:val="ART"/>
        <w:jc w:val="both"/>
      </w:pPr>
      <w:r>
        <w:t>ÉLECTRIQUE</w:t>
      </w:r>
    </w:p>
    <w:p w14:paraId="29C968FF" w14:textId="77777777" w:rsidR="00C92E07" w:rsidRPr="006F1B31" w:rsidRDefault="00C8126D" w:rsidP="002960DD">
      <w:pPr>
        <w:pStyle w:val="PR1"/>
      </w:pPr>
      <w:r>
        <w:t>Moteur à courant continu à haut rendement : Consommation maximale de 3 ampères, permettant à 5 opérateurs de fonctionner sur un seul circuit de 20 ampères.</w:t>
      </w:r>
    </w:p>
    <w:p w14:paraId="2ECDD029" w14:textId="77777777" w:rsidR="00C92E07" w:rsidRPr="006F1B31" w:rsidRDefault="00C8126D" w:rsidP="002960DD">
      <w:pPr>
        <w:pStyle w:val="PR1"/>
      </w:pPr>
      <w:r>
        <w:lastRenderedPageBreak/>
        <w:t>Alimentation :  Commande à détection automatique de la tension secteur. 120 VCA à 240 VCA, 50/60 Hz, alimentation minimale de 3 ampères avec une connexion à la terre solide pour chaque système de porte.</w:t>
      </w:r>
    </w:p>
    <w:p w14:paraId="28B78059" w14:textId="77777777" w:rsidR="00C92E07" w:rsidRPr="006F1B31" w:rsidRDefault="00C8126D" w:rsidP="002960DD">
      <w:pPr>
        <w:pStyle w:val="PR1"/>
      </w:pPr>
      <w:r>
        <w:t>Entrée d’impulsion par clé :  Entrée pour lecteurs de cartes ou activation à distance, avec délai d’ouverture maintenue réglable indépendamment.</w:t>
      </w:r>
    </w:p>
    <w:p w14:paraId="22C3ACCD" w14:textId="77777777" w:rsidR="00C92E07" w:rsidRPr="006F1B31" w:rsidRDefault="00C8126D" w:rsidP="002960DD">
      <w:pPr>
        <w:pStyle w:val="PR1"/>
      </w:pPr>
      <w:r>
        <w:t>Câblage :  Goulotte interne distincte, sans pièces mobiles.</w:t>
      </w:r>
    </w:p>
    <w:p w14:paraId="47C8FF7A" w14:textId="77777777" w:rsidR="00C92E07" w:rsidRPr="006F1B31" w:rsidRDefault="00C8126D" w:rsidP="002960DD">
      <w:pPr>
        <w:pStyle w:val="PR1"/>
      </w:pPr>
      <w:r>
        <w:t>Capacité en conditions de sous‑tension / surtension : Même en cas de sous-tension ou de surtension (85 V - 265 V), le système peut fonctionner à pleine performance. En effet, il est capable de détecter les variations et de s'ajuster automatiquement.</w:t>
      </w:r>
    </w:p>
    <w:p w14:paraId="04FDBE58" w14:textId="77777777" w:rsidR="00C92E07" w:rsidRPr="00720D55" w:rsidRDefault="00C8126D" w:rsidP="002960DD">
      <w:pPr>
        <w:pStyle w:val="PR1"/>
        <w:rPr>
          <w:highlight w:val="yellow"/>
        </w:rPr>
      </w:pPr>
      <w:r>
        <w:rPr>
          <w:highlight w:val="yellow"/>
        </w:rPr>
        <w:t>[Batterie de secours : Doit être dissimulée dans le boîtier supérieur et capable d’assurer un fonctionnement complet en cas de panne de courant, incluant les fonctions des capteurs, pour un minimum de 100 cycles.]</w:t>
      </w:r>
    </w:p>
    <w:p w14:paraId="157BF357" w14:textId="77777777" w:rsidR="00C92E07" w:rsidRPr="003F23FA" w:rsidRDefault="00C8126D" w:rsidP="002960DD">
      <w:pPr>
        <w:pStyle w:val="PR1"/>
        <w:rPr>
          <w:highlight w:val="yellow"/>
        </w:rPr>
      </w:pPr>
      <w:r>
        <w:rPr>
          <w:highlight w:val="yellow"/>
        </w:rPr>
        <w:t>[Compteur de cycles numérique :  Compteur de cycles à 7 chiffres sur écran LCD, alimenté par batterie, avec fonction de remise à zéro pour le suivi des cycles d’utilisation de la porte.]</w:t>
      </w:r>
    </w:p>
    <w:p w14:paraId="4F32FB04" w14:textId="77777777" w:rsidR="003F2F05" w:rsidRDefault="00C8126D" w:rsidP="002960DD">
      <w:pPr>
        <w:pStyle w:val="PRT"/>
        <w:keepNext w:val="0"/>
        <w:numPr>
          <w:ilvl w:val="0"/>
          <w:numId w:val="0"/>
        </w:numPr>
        <w:spacing w:before="120" w:after="120"/>
        <w:jc w:val="both"/>
        <w:rPr>
          <w:b/>
          <w:i/>
          <w:u w:val="single"/>
        </w:rPr>
      </w:pPr>
      <w:bookmarkStart w:id="5" w:name="_Hlk182321784"/>
      <w:r>
        <w:rPr>
          <w:b/>
          <w:i/>
          <w:highlight w:val="lightGray"/>
          <w:u w:val="single"/>
        </w:rPr>
        <w:t>REMARQUE :  Supprimer cette section « Accessoires » si non requise pour le montage des dispositifs d’activation</w:t>
      </w:r>
    </w:p>
    <w:p w14:paraId="71D49AF2" w14:textId="77777777" w:rsidR="003F2F05" w:rsidRPr="002B6537" w:rsidRDefault="00C8126D" w:rsidP="002960DD">
      <w:pPr>
        <w:pStyle w:val="ART"/>
        <w:jc w:val="both"/>
        <w:rPr>
          <w:highlight w:val="yellow"/>
        </w:rPr>
      </w:pPr>
      <w:bookmarkStart w:id="6" w:name="_Hlk182321758"/>
      <w:r>
        <w:rPr>
          <w:highlight w:val="yellow"/>
        </w:rPr>
        <w:t>[ACCESSOIRES]</w:t>
      </w:r>
    </w:p>
    <w:bookmarkEnd w:id="5"/>
    <w:p w14:paraId="04493599" w14:textId="77777777" w:rsidR="003F2F05" w:rsidRDefault="00C8126D" w:rsidP="002960DD">
      <w:pPr>
        <w:pStyle w:val="PR1"/>
        <w:rPr>
          <w:highlight w:val="yellow"/>
        </w:rPr>
      </w:pPr>
      <w:r>
        <w:rPr>
          <w:highlight w:val="yellow"/>
        </w:rPr>
        <w:t>Poteau-bollard :  Le poteau-bollard doit être</w:t>
      </w:r>
      <w:r>
        <w:t xml:space="preserve"> </w:t>
      </w:r>
      <w:r>
        <w:rPr>
          <w:highlight w:val="yellow"/>
        </w:rPr>
        <w:t>en [aluminium extrudé anodisé, avec une épaisseur nominale de paroi de 1/8 po (4 mm).]</w:t>
      </w:r>
      <w:r>
        <w:t xml:space="preserve"> </w:t>
      </w:r>
      <w:r>
        <w:rPr>
          <w:highlight w:val="yellow"/>
        </w:rPr>
        <w:t>[</w:t>
      </w:r>
      <w:proofErr w:type="gramStart"/>
      <w:r>
        <w:rPr>
          <w:highlight w:val="yellow"/>
        </w:rPr>
        <w:t>aluminium</w:t>
      </w:r>
      <w:proofErr w:type="gramEnd"/>
      <w:r>
        <w:rPr>
          <w:highlight w:val="yellow"/>
        </w:rPr>
        <w:t xml:space="preserve"> extrudé peint, épaisseur nominale de paroi 1/8" (4 mm).]</w:t>
      </w:r>
      <w:r>
        <w:t xml:space="preserve"> </w:t>
      </w:r>
      <w:r>
        <w:rPr>
          <w:highlight w:val="yellow"/>
        </w:rPr>
        <w:t>[</w:t>
      </w:r>
      <w:proofErr w:type="gramStart"/>
      <w:r>
        <w:rPr>
          <w:highlight w:val="yellow"/>
        </w:rPr>
        <w:t>tube</w:t>
      </w:r>
      <w:proofErr w:type="gramEnd"/>
      <w:r>
        <w:rPr>
          <w:highlight w:val="yellow"/>
        </w:rPr>
        <w:t xml:space="preserve"> en acier inoxydable, type 304, fini satiné, épaisseur de paroi 0,120" (3 mm).] </w:t>
      </w:r>
    </w:p>
    <w:p w14:paraId="0799CF7B" w14:textId="77777777" w:rsidR="003F2F05" w:rsidRPr="002B6537" w:rsidRDefault="00C8126D" w:rsidP="002960DD">
      <w:pPr>
        <w:pStyle w:val="PR2"/>
        <w:rPr>
          <w:highlight w:val="yellow"/>
        </w:rPr>
      </w:pPr>
      <w:r>
        <w:rPr>
          <w:highlight w:val="yellow"/>
        </w:rPr>
        <w:t xml:space="preserve">Hauteur du poteau </w:t>
      </w:r>
      <w:proofErr w:type="gramStart"/>
      <w:r>
        <w:rPr>
          <w:highlight w:val="yellow"/>
        </w:rPr>
        <w:t>:</w:t>
      </w:r>
      <w:r>
        <w:t xml:space="preserve">  </w:t>
      </w:r>
      <w:r>
        <w:rPr>
          <w:highlight w:val="yellow"/>
        </w:rPr>
        <w:t>[</w:t>
      </w:r>
      <w:proofErr w:type="gramEnd"/>
      <w:r>
        <w:rPr>
          <w:highlight w:val="yellow"/>
        </w:rPr>
        <w:t>Poteau en applique de 42" de hauteur, complet avec base d’ancrage et ancrages.]</w:t>
      </w:r>
      <w:r>
        <w:t xml:space="preserve"> </w:t>
      </w:r>
      <w:r>
        <w:rPr>
          <w:highlight w:val="yellow"/>
        </w:rPr>
        <w:t>[Poteau de 54" de hauteur, installation en terre, complet avec ancrages.]</w:t>
      </w:r>
    </w:p>
    <w:p w14:paraId="32B94B32" w14:textId="77777777" w:rsidR="003F2F05" w:rsidRDefault="00C8126D" w:rsidP="002960DD">
      <w:pPr>
        <w:pStyle w:val="PR3"/>
        <w:jc w:val="both"/>
        <w:rPr>
          <w:highlight w:val="yellow"/>
        </w:rPr>
      </w:pPr>
      <w:r>
        <w:rPr>
          <w:highlight w:val="yellow"/>
        </w:rPr>
        <w:t>Montage du poteau :</w:t>
      </w:r>
      <w:r>
        <w:t xml:space="preserve"> </w:t>
      </w:r>
      <w:r>
        <w:rPr>
          <w:highlight w:val="yellow"/>
        </w:rPr>
        <w:t>[Montage en applique avec base apparente.]</w:t>
      </w:r>
      <w:r>
        <w:t xml:space="preserve"> </w:t>
      </w:r>
      <w:r>
        <w:rPr>
          <w:highlight w:val="yellow"/>
        </w:rPr>
        <w:t>[Montage en applique avec base dissimulée.]</w:t>
      </w:r>
      <w:r>
        <w:t xml:space="preserve"> </w:t>
      </w:r>
      <w:r>
        <w:rPr>
          <w:highlight w:val="yellow"/>
        </w:rPr>
        <w:t>[Montage en terre.]</w:t>
      </w:r>
    </w:p>
    <w:p w14:paraId="098688C5" w14:textId="77777777" w:rsidR="003F2F05" w:rsidRDefault="00C8126D" w:rsidP="002960DD">
      <w:pPr>
        <w:pStyle w:val="PR2"/>
        <w:rPr>
          <w:highlight w:val="yellow"/>
        </w:rPr>
      </w:pPr>
      <w:r>
        <w:rPr>
          <w:highlight w:val="yellow"/>
        </w:rPr>
        <w:t xml:space="preserve">Dimension du poteau </w:t>
      </w:r>
      <w:proofErr w:type="gramStart"/>
      <w:r>
        <w:rPr>
          <w:highlight w:val="yellow"/>
        </w:rPr>
        <w:t>:  [</w:t>
      </w:r>
      <w:proofErr w:type="gramEnd"/>
      <w:r>
        <w:rPr>
          <w:highlight w:val="yellow"/>
        </w:rPr>
        <w:t>Poteau carré</w:t>
      </w:r>
      <w:r>
        <w:t xml:space="preserve"> </w:t>
      </w:r>
      <w:r>
        <w:rPr>
          <w:highlight w:val="yellow"/>
        </w:rPr>
        <w:t>nominal de 4-1/2" x 4-1/2".]</w:t>
      </w:r>
      <w:r>
        <w:t xml:space="preserve">  </w:t>
      </w:r>
      <w:r>
        <w:rPr>
          <w:highlight w:val="yellow"/>
        </w:rPr>
        <w:t>[Poteau de 4" de diamètre.]</w:t>
      </w:r>
      <w:r>
        <w:t xml:space="preserve">  </w:t>
      </w:r>
      <w:r>
        <w:rPr>
          <w:highlight w:val="yellow"/>
        </w:rPr>
        <w:t>[Poteau carré de 6" x 6".]</w:t>
      </w:r>
      <w:r>
        <w:t xml:space="preserve">  </w:t>
      </w:r>
      <w:r>
        <w:rPr>
          <w:highlight w:val="yellow"/>
        </w:rPr>
        <w:t>[Poteau de 6" de diamètre.]</w:t>
      </w:r>
      <w:r>
        <w:t xml:space="preserve"> </w:t>
      </w:r>
    </w:p>
    <w:p w14:paraId="0939AB9C" w14:textId="77777777" w:rsidR="003F2F05" w:rsidRPr="00D50B09" w:rsidRDefault="00C8126D" w:rsidP="002960DD">
      <w:pPr>
        <w:pStyle w:val="PR3"/>
        <w:jc w:val="both"/>
        <w:rPr>
          <w:highlight w:val="yellow"/>
        </w:rPr>
      </w:pPr>
      <w:r>
        <w:rPr>
          <w:highlight w:val="yellow"/>
        </w:rPr>
        <w:t>[Les poteaux carrés doivent avoir des coins arrondis de 1/64".]</w:t>
      </w:r>
    </w:p>
    <w:p w14:paraId="04794270" w14:textId="77777777" w:rsidR="003F2F05" w:rsidRPr="00D50B09" w:rsidRDefault="00C8126D" w:rsidP="002960DD">
      <w:pPr>
        <w:pStyle w:val="PR3"/>
        <w:jc w:val="both"/>
        <w:rPr>
          <w:highlight w:val="yellow"/>
        </w:rPr>
      </w:pPr>
      <w:r>
        <w:rPr>
          <w:highlight w:val="yellow"/>
        </w:rPr>
        <w:t>[Les poteaux ronds doivent être munis d’une bague adaptatrice pour le montage d’une plaque poussoir plate et d’un lecteur de cartes.]</w:t>
      </w:r>
    </w:p>
    <w:p w14:paraId="3AF67018" w14:textId="77777777" w:rsidR="003F2F05" w:rsidRDefault="00C8126D" w:rsidP="002960DD">
      <w:pPr>
        <w:pStyle w:val="PR2"/>
        <w:rPr>
          <w:highlight w:val="yellow"/>
        </w:rPr>
      </w:pPr>
      <w:r>
        <w:rPr>
          <w:highlight w:val="yellow"/>
        </w:rPr>
        <w:t xml:space="preserve">Sommet du poteau </w:t>
      </w:r>
      <w:proofErr w:type="gramStart"/>
      <w:r>
        <w:rPr>
          <w:highlight w:val="yellow"/>
        </w:rPr>
        <w:t>:</w:t>
      </w:r>
      <w:r>
        <w:t xml:space="preserve">  </w:t>
      </w:r>
      <w:r>
        <w:rPr>
          <w:highlight w:val="yellow"/>
        </w:rPr>
        <w:t>[</w:t>
      </w:r>
      <w:proofErr w:type="gramEnd"/>
      <w:r>
        <w:rPr>
          <w:highlight w:val="yellow"/>
        </w:rPr>
        <w:t>Sommet plat, capuchon amovible en plastique noir permettant la transmission RF.]</w:t>
      </w:r>
      <w:r>
        <w:t xml:space="preserve">  </w:t>
      </w:r>
      <w:r>
        <w:rPr>
          <w:highlight w:val="yellow"/>
        </w:rPr>
        <w:t>[Sommet plat, capuchon amovible en acier inoxydable.]</w:t>
      </w:r>
      <w:r>
        <w:t xml:space="preserve">  </w:t>
      </w:r>
      <w:r>
        <w:rPr>
          <w:highlight w:val="yellow"/>
        </w:rPr>
        <w:t>[Sommet incliné, capuchon amovible en plastique noir permettant la transmission RF.]</w:t>
      </w:r>
      <w:r>
        <w:t xml:space="preserve">  </w:t>
      </w:r>
      <w:r>
        <w:rPr>
          <w:highlight w:val="yellow"/>
        </w:rPr>
        <w:t>[Sommet incliné, soudé.]</w:t>
      </w:r>
      <w:r>
        <w:t xml:space="preserve">  </w:t>
      </w:r>
      <w:r>
        <w:rPr>
          <w:highlight w:val="yellow"/>
        </w:rPr>
        <w:t>[Sommet bombé, soudé.]</w:t>
      </w:r>
    </w:p>
    <w:p w14:paraId="1B372568" w14:textId="77777777" w:rsidR="003F2F05" w:rsidRPr="00B07D38" w:rsidRDefault="00C8126D" w:rsidP="002960DD">
      <w:pPr>
        <w:pStyle w:val="PR2"/>
      </w:pPr>
      <w:r>
        <w:lastRenderedPageBreak/>
        <w:t>Plaque poussoir :  Voir la section « DISPOSITIFS D’ACTIVATION » pour les exigences relatives aux plaques poussoirs et aux lecteurs de cartes.</w:t>
      </w:r>
    </w:p>
    <w:p w14:paraId="2DA2D4B5" w14:textId="77777777" w:rsidR="003F2F05" w:rsidRPr="00A15CEE" w:rsidRDefault="00C8126D" w:rsidP="002960DD">
      <w:pPr>
        <w:pStyle w:val="PR2"/>
        <w:rPr>
          <w:highlight w:val="yellow"/>
        </w:rPr>
      </w:pPr>
      <w:r>
        <w:rPr>
          <w:highlight w:val="yellow"/>
        </w:rPr>
        <w:t>Fini de la borne :</w:t>
      </w:r>
    </w:p>
    <w:p w14:paraId="5AC6F9FF" w14:textId="77777777" w:rsidR="003F2F05" w:rsidRPr="00AA6094" w:rsidRDefault="00C8126D" w:rsidP="002960DD">
      <w:pPr>
        <w:pStyle w:val="PR3"/>
        <w:jc w:val="both"/>
        <w:rPr>
          <w:highlight w:val="yellow"/>
        </w:rPr>
      </w:pPr>
      <w:r>
        <w:rPr>
          <w:highlight w:val="yellow"/>
        </w:rPr>
        <w:t>[Finition anodisée :]</w:t>
      </w:r>
    </w:p>
    <w:p w14:paraId="1E71881A" w14:textId="77777777" w:rsidR="003F2F05" w:rsidRPr="00AA6094" w:rsidRDefault="00C8126D" w:rsidP="002960DD">
      <w:pPr>
        <w:pStyle w:val="PR4"/>
        <w:jc w:val="both"/>
        <w:rPr>
          <w:highlight w:val="yellow"/>
        </w:rPr>
      </w:pPr>
      <w:r>
        <w:rPr>
          <w:highlight w:val="yellow"/>
        </w:rPr>
        <w:t xml:space="preserve">[AAMA 611, Transparent, AA-M12C22A41, Classe I, 0,018 mm.]  </w:t>
      </w:r>
    </w:p>
    <w:p w14:paraId="047F0678" w14:textId="77777777" w:rsidR="003F2F05" w:rsidRPr="00AA6094" w:rsidRDefault="00C8126D" w:rsidP="002960DD">
      <w:pPr>
        <w:pStyle w:val="PR4"/>
        <w:jc w:val="both"/>
        <w:rPr>
          <w:highlight w:val="yellow"/>
        </w:rPr>
      </w:pPr>
      <w:r>
        <w:rPr>
          <w:highlight w:val="yellow"/>
        </w:rPr>
        <w:t>[AAMA 611, Bronze foncé, AA-M12C22A44, Classe I, 0,018 mm.]</w:t>
      </w:r>
    </w:p>
    <w:p w14:paraId="1827E5D7" w14:textId="77777777" w:rsidR="003F2F05" w:rsidRPr="00AA6094" w:rsidRDefault="00C8126D" w:rsidP="002960DD">
      <w:pPr>
        <w:pStyle w:val="PR4"/>
        <w:jc w:val="both"/>
        <w:rPr>
          <w:highlight w:val="yellow"/>
        </w:rPr>
      </w:pPr>
      <w:r>
        <w:rPr>
          <w:highlight w:val="yellow"/>
        </w:rPr>
        <w:t>[AAMA 611, Anodisé sur mesure pour correspondre à l'échantillon de l'architecte.]</w:t>
      </w:r>
    </w:p>
    <w:p w14:paraId="4DA91E14" w14:textId="77777777" w:rsidR="003F2F05" w:rsidRPr="00AA6094" w:rsidRDefault="00C8126D" w:rsidP="002960DD">
      <w:pPr>
        <w:pStyle w:val="PR3"/>
        <w:jc w:val="both"/>
        <w:rPr>
          <w:highlight w:val="yellow"/>
        </w:rPr>
      </w:pPr>
      <w:r>
        <w:rPr>
          <w:highlight w:val="yellow"/>
        </w:rPr>
        <w:t>[Finition peinte :]</w:t>
      </w:r>
    </w:p>
    <w:p w14:paraId="6BF3CF36" w14:textId="77777777" w:rsidR="003F2F05" w:rsidRPr="00AA6094" w:rsidRDefault="00C8126D" w:rsidP="002960DD">
      <w:pPr>
        <w:pStyle w:val="PR4"/>
        <w:jc w:val="both"/>
        <w:rPr>
          <w:highlight w:val="yellow"/>
        </w:rPr>
      </w:pPr>
      <w:r>
        <w:rPr>
          <w:highlight w:val="yellow"/>
        </w:rPr>
        <w:t>[Peinture en poudre pour correspondre à l'échantillon de l'architecte.]</w:t>
      </w:r>
    </w:p>
    <w:p w14:paraId="036144AE" w14:textId="77777777" w:rsidR="003F2F05" w:rsidRPr="00AA6094" w:rsidRDefault="00C8126D" w:rsidP="002960DD">
      <w:pPr>
        <w:pStyle w:val="PR4"/>
        <w:jc w:val="both"/>
        <w:rPr>
          <w:highlight w:val="yellow"/>
        </w:rPr>
      </w:pPr>
      <w:r>
        <w:rPr>
          <w:highlight w:val="yellow"/>
        </w:rPr>
        <w:t>[Finition Kynar, [2 couches] [3 couches], pour correspondre à l'échantillon de l'architecte.]</w:t>
      </w:r>
    </w:p>
    <w:p w14:paraId="459476A4" w14:textId="77777777" w:rsidR="003F2F05" w:rsidRPr="00AA6094" w:rsidRDefault="00C8126D" w:rsidP="002960DD">
      <w:pPr>
        <w:pStyle w:val="PR3"/>
        <w:jc w:val="both"/>
        <w:rPr>
          <w:highlight w:val="yellow"/>
        </w:rPr>
      </w:pPr>
      <w:r>
        <w:rPr>
          <w:highlight w:val="yellow"/>
        </w:rPr>
        <w:t>[Finition en acier inoxydable :]</w:t>
      </w:r>
    </w:p>
    <w:p w14:paraId="6B984A97" w14:textId="77777777" w:rsidR="003F2F05" w:rsidRPr="00AA6094" w:rsidRDefault="00C8126D" w:rsidP="002960DD">
      <w:pPr>
        <w:pStyle w:val="PR4"/>
        <w:jc w:val="both"/>
        <w:rPr>
          <w:highlight w:val="yellow"/>
        </w:rPr>
      </w:pPr>
      <w:r>
        <w:rPr>
          <w:highlight w:val="yellow"/>
        </w:rPr>
        <w:t>Acier inoxydable avec une finition satinée.</w:t>
      </w:r>
    </w:p>
    <w:p w14:paraId="4C727AF7" w14:textId="77777777" w:rsidR="003F2F05" w:rsidRDefault="00C8126D" w:rsidP="002960DD">
      <w:pPr>
        <w:pStyle w:val="PR3"/>
        <w:jc w:val="both"/>
        <w:rPr>
          <w:highlight w:val="yellow"/>
        </w:rPr>
      </w:pPr>
      <w:r>
        <w:rPr>
          <w:highlight w:val="yellow"/>
        </w:rPr>
        <w:t>[À l'identique de l'échantillon de l'architecte.]</w:t>
      </w:r>
    </w:p>
    <w:p w14:paraId="5EE43629" w14:textId="77777777" w:rsidR="003F2F05" w:rsidRPr="00B911D9" w:rsidRDefault="00C8126D" w:rsidP="002960DD">
      <w:pPr>
        <w:pStyle w:val="PR3"/>
        <w:jc w:val="both"/>
        <w:rPr>
          <w:highlight w:val="yellow"/>
        </w:rPr>
      </w:pPr>
      <w:r>
        <w:rPr>
          <w:highlight w:val="yellow"/>
        </w:rPr>
        <w:t>[Fini assorti à l’entrée.]</w:t>
      </w:r>
    </w:p>
    <w:bookmarkEnd w:id="6"/>
    <w:p w14:paraId="73FEBA54" w14:textId="77777777" w:rsidR="00C92E07" w:rsidRPr="006F1B31" w:rsidRDefault="00C8126D" w:rsidP="002960DD">
      <w:pPr>
        <w:pStyle w:val="ART"/>
        <w:jc w:val="both"/>
      </w:pPr>
      <w:r>
        <w:t>FINITIONS EN ALUMINIUM</w:t>
      </w:r>
    </w:p>
    <w:p w14:paraId="0E3F16E3" w14:textId="77777777" w:rsidR="00C92E07" w:rsidRPr="006F1B31" w:rsidRDefault="00C8126D" w:rsidP="002960DD">
      <w:pPr>
        <w:pStyle w:val="PRT"/>
        <w:numPr>
          <w:ilvl w:val="0"/>
          <w:numId w:val="0"/>
        </w:numPr>
        <w:spacing w:before="120"/>
        <w:jc w:val="both"/>
        <w:rPr>
          <w:rFonts w:cs="Arial"/>
          <w:b/>
          <w:i/>
          <w:szCs w:val="22"/>
          <w:u w:val="single"/>
        </w:rPr>
      </w:pPr>
      <w:r>
        <w:rPr>
          <w:b/>
          <w:i/>
          <w:highlight w:val="lightGray"/>
          <w:u w:val="single"/>
        </w:rPr>
        <w:t>REMARQUE :  Consultez SpecDesk pour les options de finition personnalisées</w:t>
      </w:r>
    </w:p>
    <w:p w14:paraId="255DCB5F" w14:textId="77777777" w:rsidR="00C92E07" w:rsidRPr="006F1B31" w:rsidRDefault="00C8126D" w:rsidP="002960DD">
      <w:pPr>
        <w:pStyle w:val="PR1"/>
      </w:pPr>
      <w:r>
        <w:t>Respectez le « Manuel des finitions métalliques pour les produits architecturaux et métalliques » de la NAAMM pour les recommandations relatives à l'application et à la désignation des finitions.</w:t>
      </w:r>
    </w:p>
    <w:p w14:paraId="1A4FCB3D" w14:textId="77777777" w:rsidR="00C92E07" w:rsidRPr="00720D55" w:rsidRDefault="00C8126D" w:rsidP="002960DD">
      <w:pPr>
        <w:pStyle w:val="PR1"/>
        <w:rPr>
          <w:highlight w:val="yellow"/>
        </w:rPr>
      </w:pPr>
      <w:r>
        <w:rPr>
          <w:highlight w:val="yellow"/>
        </w:rPr>
        <w:t>[Finition anodisée :]</w:t>
      </w:r>
    </w:p>
    <w:p w14:paraId="0234A0D5" w14:textId="77777777" w:rsidR="00C92E07" w:rsidRPr="006F1B31" w:rsidRDefault="00C8126D" w:rsidP="002960DD">
      <w:pPr>
        <w:pStyle w:val="PR2"/>
        <w:rPr>
          <w:highlight w:val="yellow"/>
        </w:rPr>
      </w:pPr>
      <w:r>
        <w:rPr>
          <w:highlight w:val="yellow"/>
        </w:rPr>
        <w:t xml:space="preserve">[AAMA 611, Transparent, AA-M12C22A41, Classe I, 0,018 mm.]  </w:t>
      </w:r>
    </w:p>
    <w:p w14:paraId="380AAB4D" w14:textId="77777777" w:rsidR="00C92E07" w:rsidRPr="006F1B31" w:rsidRDefault="00C8126D" w:rsidP="002960DD">
      <w:pPr>
        <w:pStyle w:val="PR2"/>
        <w:rPr>
          <w:highlight w:val="yellow"/>
        </w:rPr>
      </w:pPr>
      <w:r>
        <w:rPr>
          <w:highlight w:val="yellow"/>
        </w:rPr>
        <w:t>[AAMA 611, Bronze foncé, AA-M12C22A44, Classe I, 0,018 mm.]</w:t>
      </w:r>
    </w:p>
    <w:p w14:paraId="0C5A6AFE" w14:textId="77777777" w:rsidR="00C92E07" w:rsidRPr="006F1B31" w:rsidRDefault="00C8126D" w:rsidP="002960DD">
      <w:pPr>
        <w:pStyle w:val="PR2"/>
        <w:rPr>
          <w:highlight w:val="yellow"/>
        </w:rPr>
      </w:pPr>
      <w:r>
        <w:rPr>
          <w:highlight w:val="yellow"/>
        </w:rPr>
        <w:t>[AAMA 611, Anodisé sur mesure pour correspondre à l'échantillon de l'architecte.]</w:t>
      </w:r>
    </w:p>
    <w:p w14:paraId="03C7375E" w14:textId="77777777" w:rsidR="00C92E07" w:rsidRPr="00720D55" w:rsidRDefault="00C8126D" w:rsidP="002960DD">
      <w:pPr>
        <w:pStyle w:val="PR1"/>
        <w:rPr>
          <w:highlight w:val="yellow"/>
        </w:rPr>
      </w:pPr>
      <w:r>
        <w:rPr>
          <w:highlight w:val="yellow"/>
        </w:rPr>
        <w:t>[Finition peinte :]</w:t>
      </w:r>
    </w:p>
    <w:p w14:paraId="0CA3C142" w14:textId="77777777" w:rsidR="00C92E07" w:rsidRPr="006F1B31" w:rsidRDefault="00C8126D" w:rsidP="002960DD">
      <w:pPr>
        <w:pStyle w:val="PR2"/>
        <w:rPr>
          <w:highlight w:val="yellow"/>
        </w:rPr>
      </w:pPr>
      <w:r>
        <w:rPr>
          <w:highlight w:val="yellow"/>
        </w:rPr>
        <w:t>[Peinture en poudre pour correspondre à l'échantillon de l'architecte.]</w:t>
      </w:r>
    </w:p>
    <w:p w14:paraId="0139A59F" w14:textId="77777777" w:rsidR="00C92E07" w:rsidRPr="00E16FAF" w:rsidRDefault="00C8126D" w:rsidP="002960DD">
      <w:pPr>
        <w:pStyle w:val="PR2"/>
        <w:rPr>
          <w:highlight w:val="yellow"/>
        </w:rPr>
      </w:pPr>
      <w:r>
        <w:rPr>
          <w:highlight w:val="yellow"/>
        </w:rPr>
        <w:t>[Finition Kynar, [2 couches] [3 couches], pour correspondre à l'échantillon de l'architecte.]</w:t>
      </w:r>
    </w:p>
    <w:p w14:paraId="1B93716C" w14:textId="77777777" w:rsidR="00C92E07" w:rsidRPr="00720D55" w:rsidRDefault="00C8126D" w:rsidP="002960DD">
      <w:pPr>
        <w:pStyle w:val="PR1"/>
        <w:rPr>
          <w:highlight w:val="yellow"/>
        </w:rPr>
      </w:pPr>
      <w:r>
        <w:rPr>
          <w:highlight w:val="yellow"/>
        </w:rPr>
        <w:t>[Finition de revêtement (revêtements protecteurs par des tiers) :]</w:t>
      </w:r>
    </w:p>
    <w:p w14:paraId="0272F99B" w14:textId="77777777" w:rsidR="00C92E07" w:rsidRPr="006F1B31" w:rsidRDefault="00C8126D" w:rsidP="002960DD">
      <w:pPr>
        <w:pStyle w:val="PR2"/>
        <w:rPr>
          <w:highlight w:val="yellow"/>
        </w:rPr>
      </w:pPr>
      <w:r>
        <w:rPr>
          <w:highlight w:val="yellow"/>
        </w:rPr>
        <w:t>[Acier inoxydable avec finition satinée n° 4.]</w:t>
      </w:r>
    </w:p>
    <w:p w14:paraId="0FDE6539" w14:textId="77777777" w:rsidR="00C92E07" w:rsidRPr="006F1B31" w:rsidRDefault="00C8126D" w:rsidP="002960DD">
      <w:pPr>
        <w:pStyle w:val="PR2"/>
        <w:rPr>
          <w:highlight w:val="yellow"/>
        </w:rPr>
      </w:pPr>
      <w:r>
        <w:rPr>
          <w:highlight w:val="yellow"/>
        </w:rPr>
        <w:t>[Acier inoxydable avec finition n° 8 miroitante, réfléchissante et non directionnelle.]</w:t>
      </w:r>
    </w:p>
    <w:p w14:paraId="61DDF67D" w14:textId="77777777" w:rsidR="00C92E07" w:rsidRPr="006F1B31" w:rsidRDefault="00C8126D" w:rsidP="002960DD">
      <w:pPr>
        <w:pStyle w:val="PR2"/>
        <w:rPr>
          <w:highlight w:val="yellow"/>
        </w:rPr>
      </w:pPr>
      <w:r>
        <w:rPr>
          <w:highlight w:val="yellow"/>
        </w:rPr>
        <w:t>[Bronze avec une finition satinée.]</w:t>
      </w:r>
    </w:p>
    <w:p w14:paraId="1B460A24" w14:textId="77777777" w:rsidR="00C92E07" w:rsidRPr="006F1B31" w:rsidRDefault="00C8126D" w:rsidP="002960DD">
      <w:pPr>
        <w:pStyle w:val="PR2"/>
        <w:rPr>
          <w:highlight w:val="yellow"/>
        </w:rPr>
      </w:pPr>
      <w:r>
        <w:rPr>
          <w:highlight w:val="yellow"/>
        </w:rPr>
        <w:t>[Bronze avec une finition polie et non directionnelle.]</w:t>
      </w:r>
    </w:p>
    <w:p w14:paraId="68FFD873" w14:textId="77777777" w:rsidR="00C92E07" w:rsidRPr="006F1B31" w:rsidRDefault="00C8126D" w:rsidP="002960DD">
      <w:pPr>
        <w:pStyle w:val="PR2"/>
        <w:rPr>
          <w:highlight w:val="yellow"/>
        </w:rPr>
      </w:pPr>
      <w:r>
        <w:rPr>
          <w:highlight w:val="yellow"/>
        </w:rPr>
        <w:t>[Laiton avec une finition satinée.]</w:t>
      </w:r>
    </w:p>
    <w:p w14:paraId="3A1F97A8" w14:textId="77777777" w:rsidR="00C92E07" w:rsidRPr="006F1B31" w:rsidRDefault="00C8126D" w:rsidP="002960DD">
      <w:pPr>
        <w:pStyle w:val="PR2"/>
        <w:rPr>
          <w:highlight w:val="yellow"/>
        </w:rPr>
      </w:pPr>
      <w:r>
        <w:rPr>
          <w:highlight w:val="yellow"/>
        </w:rPr>
        <w:t>[Laiton avec une finition polie et non directionnelle.]</w:t>
      </w:r>
    </w:p>
    <w:p w14:paraId="6909E6BD" w14:textId="77777777" w:rsidR="00C92E07" w:rsidRPr="00720D55" w:rsidRDefault="00C8126D" w:rsidP="002960DD">
      <w:pPr>
        <w:pStyle w:val="PR1"/>
        <w:rPr>
          <w:highlight w:val="yellow"/>
        </w:rPr>
      </w:pPr>
      <w:r>
        <w:rPr>
          <w:highlight w:val="yellow"/>
        </w:rPr>
        <w:lastRenderedPageBreak/>
        <w:t>[À l'identique de l'échantillon de l'architecte.]</w:t>
      </w:r>
    </w:p>
    <w:p w14:paraId="3BE5D147" w14:textId="77777777" w:rsidR="00C92E07" w:rsidRPr="006F1B31" w:rsidRDefault="00C8126D" w:rsidP="002960DD">
      <w:pPr>
        <w:pStyle w:val="PRT"/>
        <w:jc w:val="both"/>
        <w:rPr>
          <w:rFonts w:cs="Arial"/>
          <w:szCs w:val="22"/>
        </w:rPr>
      </w:pPr>
      <w:r>
        <w:t>EXÉCUTION</w:t>
      </w:r>
    </w:p>
    <w:p w14:paraId="7A9A6ADB" w14:textId="77777777" w:rsidR="00C92E07" w:rsidRPr="006F1B31" w:rsidRDefault="00C8126D" w:rsidP="002960DD">
      <w:pPr>
        <w:pStyle w:val="ART"/>
        <w:jc w:val="both"/>
      </w:pPr>
      <w:r>
        <w:t>EXAMEN</w:t>
      </w:r>
    </w:p>
    <w:p w14:paraId="11023A23" w14:textId="77777777" w:rsidR="00C92E07" w:rsidRPr="006F1B31" w:rsidRDefault="00C8126D" w:rsidP="002960DD">
      <w:pPr>
        <w:pStyle w:val="PR1"/>
      </w:pPr>
      <w:r>
        <w:t>En présence de l'installateur, examinez les portes et les huisseries afin de vérifier leur conformité aux exigences en matière de tolérances d'installation, de construction des murs et des sols, ainsi qu'aux autres conditions pouvant affecter les performances.</w:t>
      </w:r>
    </w:p>
    <w:p w14:paraId="1D7D1DD2" w14:textId="77777777" w:rsidR="00C92E07" w:rsidRPr="006F1B31" w:rsidRDefault="00C8126D" w:rsidP="002960DD">
      <w:pPr>
        <w:pStyle w:val="PR1"/>
      </w:pPr>
      <w:r>
        <w:t>Passez en revue les raccordements électriques bruts afin de vérifier l’emplacement réel des connexions de câblage.</w:t>
      </w:r>
    </w:p>
    <w:p w14:paraId="63EDB13E" w14:textId="77777777" w:rsidR="00C92E07" w:rsidRPr="006F1B31" w:rsidRDefault="00C8126D" w:rsidP="002960DD">
      <w:pPr>
        <w:pStyle w:val="PR1"/>
      </w:pPr>
      <w:r>
        <w:t>Ne continuez qu’après avoir résolu ces écarts ou conflits.</w:t>
      </w:r>
    </w:p>
    <w:p w14:paraId="30B57AF4" w14:textId="77777777" w:rsidR="00C92E07" w:rsidRPr="006F1B31" w:rsidRDefault="00C8126D" w:rsidP="002960DD">
      <w:pPr>
        <w:pStyle w:val="ART"/>
        <w:jc w:val="both"/>
      </w:pPr>
      <w:r>
        <w:t>INSTALLATION</w:t>
      </w:r>
    </w:p>
    <w:p w14:paraId="3D3ABDE7" w14:textId="77777777" w:rsidR="00C92E07" w:rsidRPr="006F1B31" w:rsidRDefault="00C8126D" w:rsidP="002960DD">
      <w:pPr>
        <w:pStyle w:val="PR1"/>
      </w:pPr>
      <w:r>
        <w:t>N’installez pas de composants endommagés.  Ajustez les joints du cadre pour obtenir des joints fins, sans bavures ni déformation. Fixez solidement les joints pour empêcher tout mouvement.</w:t>
      </w:r>
    </w:p>
    <w:p w14:paraId="119429E7" w14:textId="77777777" w:rsidR="00C92E07" w:rsidRPr="006F1B31" w:rsidRDefault="00C8126D" w:rsidP="002960DD">
      <w:pPr>
        <w:pStyle w:val="PR1"/>
      </w:pPr>
      <w:r>
        <w:t xml:space="preserve">Entrées :  Il convient d'installer les entrées automatiques </w:t>
      </w:r>
      <w:proofErr w:type="gramStart"/>
      <w:r>
        <w:t>de manière à ce</w:t>
      </w:r>
      <w:proofErr w:type="gramEnd"/>
      <w:r>
        <w:t xml:space="preserve"> qu'elles soient d'aplomb et parfaitement alignées avec les lignes et les niveaux définis, sans déformation ni déviation des éléments de charpente et des portes.  Fixez-les solidement en place.</w:t>
      </w:r>
    </w:p>
    <w:p w14:paraId="7C18345E" w14:textId="77777777" w:rsidR="00C92E07" w:rsidRPr="006F1B31" w:rsidRDefault="00C8126D" w:rsidP="002960DD">
      <w:pPr>
        <w:pStyle w:val="PR2"/>
      </w:pPr>
      <w:r>
        <w:t>Installez les ferrures en applique en utilisant autant que possible des fixations dissimulées.</w:t>
      </w:r>
    </w:p>
    <w:p w14:paraId="479DF5DB" w14:textId="77777777" w:rsidR="00C92E07" w:rsidRPr="006F1B31" w:rsidRDefault="00C8126D" w:rsidP="002960DD">
      <w:pPr>
        <w:pStyle w:val="PR2"/>
      </w:pPr>
      <w:r>
        <w:t>Poser les linteaux, ensembles de chariots, rails, équerres d’entraînement et guides de niveau et d’équerre, à l’emplacement prévu, avec un ancrage assurant un support permanent.</w:t>
      </w:r>
    </w:p>
    <w:p w14:paraId="11EDA834" w14:textId="77777777" w:rsidR="00C92E07" w:rsidRPr="006F1B31" w:rsidRDefault="00C8126D" w:rsidP="002960DD">
      <w:pPr>
        <w:pStyle w:val="PR1"/>
      </w:pPr>
      <w:r>
        <w:t>Opérateurs de porte :  Le système d'alimentation électrique des motorisations de porte doit être raccordé conformément aux sections de la division 26.</w:t>
      </w:r>
    </w:p>
    <w:p w14:paraId="655A9DF8" w14:textId="77777777" w:rsidR="00C92E07" w:rsidRPr="006F1B31" w:rsidRDefault="00C8126D" w:rsidP="002960DD">
      <w:pPr>
        <w:pStyle w:val="PR1"/>
      </w:pPr>
      <w:r>
        <w:t>Vitrage :  Le vitrage des panneaux de la porte d'entrée coulissante automatique doit être conforme au manuel de vitrage de la Glass Association of North America (GANA), aux recommandations publiées par le fabricant du vitrage et aux instructions publiées par le fabricant du système d'entrée automatique.</w:t>
      </w:r>
    </w:p>
    <w:p w14:paraId="606B0D15" w14:textId="77777777" w:rsidR="00C92E07" w:rsidRPr="006F1B31" w:rsidRDefault="00C8126D" w:rsidP="002960DD">
      <w:pPr>
        <w:pStyle w:val="PR1"/>
      </w:pPr>
      <w:r>
        <w:t>Produits d'étanchéité :  Respectez les exigences spécifiées dans la section « Produits d'étanchéité pour joints » de la Division 7, afin d'assurer une installation étanche aux intempéries.</w:t>
      </w:r>
    </w:p>
    <w:p w14:paraId="05E1BE3E" w14:textId="77777777" w:rsidR="00C92E07" w:rsidRPr="006F1B31" w:rsidRDefault="00C8126D" w:rsidP="002960DD">
      <w:pPr>
        <w:pStyle w:val="PR2"/>
      </w:pPr>
      <w:r>
        <w:t>Placez les seuils, les guides inférieurs, les systèmes de rails et les éléments de charpente dans un lit de mastic sur toute la surface.</w:t>
      </w:r>
    </w:p>
    <w:p w14:paraId="404BFB4F" w14:textId="77777777" w:rsidR="00C92E07" w:rsidRPr="006F1B31" w:rsidRDefault="00C8126D" w:rsidP="002960DD">
      <w:pPr>
        <w:pStyle w:val="PR2"/>
      </w:pPr>
      <w:r>
        <w:lastRenderedPageBreak/>
        <w:t>Scellez le périmètre des éléments de charpente avec un produit d'étanchéité.</w:t>
      </w:r>
    </w:p>
    <w:p w14:paraId="3DF4D4AD" w14:textId="77777777" w:rsidR="00C92E07" w:rsidRPr="006F1B31" w:rsidRDefault="00C8126D" w:rsidP="002960DD">
      <w:pPr>
        <w:pStyle w:val="PR1"/>
      </w:pPr>
      <w:r>
        <w:t>Signalisation :  Installez une signalisation des deux côtés de chaque porte et de chaque panneau latéral, conformément à la norme ANSI/BHMA A156.10 et aux instructions d'installation du fabricant.</w:t>
      </w:r>
    </w:p>
    <w:p w14:paraId="748FB58E" w14:textId="77777777" w:rsidR="00C92E07" w:rsidRPr="006F1B31" w:rsidRDefault="00C8126D" w:rsidP="002960DD">
      <w:pPr>
        <w:pStyle w:val="ART"/>
        <w:jc w:val="both"/>
      </w:pPr>
      <w:r>
        <w:t>RÉGLAGE</w:t>
      </w:r>
    </w:p>
    <w:p w14:paraId="4834F814" w14:textId="77777777" w:rsidR="00C92E07" w:rsidRDefault="00C8126D" w:rsidP="002960DD">
      <w:pPr>
        <w:pStyle w:val="PR1"/>
      </w:pPr>
      <w:r>
        <w:t>Réglez les opérateurs, les commandes et la quincaillerie des portes pour assurer un fonctionnement fluide et sûr ainsi qu’une fermeture étanche aux intempéries. Réglez les portes conformément à la norme ANSI/BHMA A156.10.</w:t>
      </w:r>
    </w:p>
    <w:p w14:paraId="331DFBE5" w14:textId="77777777" w:rsidR="009934EE" w:rsidRPr="006F1B31" w:rsidRDefault="00C8126D" w:rsidP="002960DD">
      <w:pPr>
        <w:pStyle w:val="PR1"/>
      </w:pPr>
      <w:r>
        <w:t>Assurez-vous que tous les joints d'étanchéité des entrées sont correctement installés et alignés, conformément aux exigences spécifiées en matière d'infiltration d'air.</w:t>
      </w:r>
    </w:p>
    <w:p w14:paraId="205557DC" w14:textId="77777777" w:rsidR="00C92E07" w:rsidRPr="006F1B31" w:rsidRDefault="00C8126D" w:rsidP="002960DD">
      <w:pPr>
        <w:pStyle w:val="ART"/>
        <w:jc w:val="both"/>
      </w:pPr>
      <w:r>
        <w:t>CONTRÔLE DE QUALITÉ SUR CHANTIER</w:t>
      </w:r>
    </w:p>
    <w:p w14:paraId="05185A55" w14:textId="77777777" w:rsidR="00C92E07" w:rsidRPr="006F1B31" w:rsidRDefault="00C8126D" w:rsidP="002960DD">
      <w:pPr>
        <w:pStyle w:val="PR1"/>
      </w:pPr>
      <w:r>
        <w:t>Avant la mise en service des portes, un technicien certifié AAADM doit inspecter et approuver les portes afin de vérifier leur conformité à la norme ANSI/BHMA A156.10. Le technicien certifié doit être agréé par le fabricant.</w:t>
      </w:r>
    </w:p>
    <w:p w14:paraId="124E2654" w14:textId="77777777" w:rsidR="00C92E07" w:rsidRPr="006F1B31" w:rsidRDefault="00C8126D" w:rsidP="002960DD">
      <w:pPr>
        <w:pStyle w:val="ART"/>
        <w:jc w:val="both"/>
      </w:pPr>
      <w:r>
        <w:t>NETTOYAGE ET PROTECTION</w:t>
      </w:r>
    </w:p>
    <w:p w14:paraId="5B2127E0" w14:textId="77777777" w:rsidR="00C92E07" w:rsidRPr="006F1B31" w:rsidRDefault="00C8126D" w:rsidP="002960DD">
      <w:pPr>
        <w:pStyle w:val="PR1"/>
      </w:pPr>
      <w:r>
        <w:t>Nettoyez les surfaces adjacentes salies lors de l'installation de la porte.</w:t>
      </w:r>
    </w:p>
    <w:p w14:paraId="2203A188" w14:textId="77777777" w:rsidR="00C92E07" w:rsidRPr="006F1B31" w:rsidRDefault="00C8126D" w:rsidP="002960DD">
      <w:pPr>
        <w:pStyle w:val="PR1"/>
      </w:pPr>
      <w:r>
        <w:t>Nettoyez les surfaces en verre et en métal sans délai après l'installation. Éliminez l'excès de mastic, de composés, de saleté et d'autres substances. Réparez les dommages de manière à reproduire la finition d'origine.</w:t>
      </w:r>
    </w:p>
    <w:p w14:paraId="00589A21" w14:textId="77777777" w:rsidR="00C92E07" w:rsidRPr="006F1B31" w:rsidRDefault="00C8126D" w:rsidP="002960DD">
      <w:pPr>
        <w:pStyle w:val="ART"/>
        <w:jc w:val="both"/>
      </w:pPr>
      <w:r>
        <w:t>DÉMONSTRATION</w:t>
      </w:r>
    </w:p>
    <w:p w14:paraId="621D8E8C" w14:textId="77777777" w:rsidR="00C92E07" w:rsidRPr="006F1B31" w:rsidRDefault="00C8126D" w:rsidP="002960DD">
      <w:pPr>
        <w:pStyle w:val="PR1"/>
      </w:pPr>
      <w:r>
        <w:t>Contactez un représentant autorisé par le fabricant afin qu'il forme le personnel d'entretien du propriétaire au réglage, à l'utilisation et au bon fonctionnement de la porte.</w:t>
      </w:r>
    </w:p>
    <w:p w14:paraId="22F2714C" w14:textId="77777777" w:rsidR="00C92E07" w:rsidRPr="006F1B31" w:rsidRDefault="00C8126D" w:rsidP="002960DD">
      <w:pPr>
        <w:pStyle w:val="EOS"/>
        <w:jc w:val="both"/>
        <w:rPr>
          <w:rFonts w:cs="Arial"/>
          <w:szCs w:val="22"/>
        </w:rPr>
      </w:pPr>
      <w:r>
        <w:t>FIN DE LA SECTION</w:t>
      </w:r>
    </w:p>
    <w:p w14:paraId="49F129B4" w14:textId="77777777" w:rsidR="00E56A72" w:rsidRPr="006F1B31" w:rsidRDefault="00E56A72" w:rsidP="002960DD">
      <w:pPr>
        <w:jc w:val="both"/>
        <w:rPr>
          <w:rFonts w:cs="Arial"/>
          <w:szCs w:val="22"/>
        </w:rPr>
      </w:pPr>
    </w:p>
    <w:sectPr w:rsidR="00E56A72" w:rsidRPr="006F1B31" w:rsidSect="000B03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9FD5" w14:textId="77777777" w:rsidR="00822141" w:rsidRDefault="00822141">
      <w:r>
        <w:separator/>
      </w:r>
    </w:p>
  </w:endnote>
  <w:endnote w:type="continuationSeparator" w:id="0">
    <w:p w14:paraId="5A4D6931" w14:textId="77777777" w:rsidR="00822141" w:rsidRDefault="0082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66F7" w14:textId="77777777" w:rsidR="009F707F" w:rsidRDefault="00C8126D" w:rsidP="001D47FD">
    <w:pPr>
      <w:tabs>
        <w:tab w:val="right" w:pos="8640"/>
      </w:tabs>
      <w:spacing w:line="0" w:lineRule="atLeast"/>
    </w:pPr>
    <w:r>
      <w:tab/>
      <w:t>Portes automatiques</w:t>
    </w:r>
  </w:p>
  <w:p w14:paraId="78170FD5" w14:textId="77777777" w:rsidR="009F707F" w:rsidRDefault="00C8126D" w:rsidP="001D47FD">
    <w:pPr>
      <w:tabs>
        <w:tab w:val="right" w:pos="8640"/>
      </w:tabs>
    </w:pPr>
    <w:r>
      <w:tab/>
      <w:t>08$</w:t>
    </w:r>
    <w:proofErr w:type="gramStart"/>
    <w:r>
      <w:t>/:s</w:t>
    </w:r>
    <w:proofErr w:type="gramEnd"/>
    <w:r>
      <w:t>42$</w:t>
    </w:r>
    <w:proofErr w:type="gramStart"/>
    <w:r>
      <w:t>/:s</w:t>
    </w:r>
    <w:proofErr w:type="gramEnd"/>
    <w:r>
      <w:t xml:space="preserve">29 - </w:t>
    </w:r>
    <w:r>
      <w:fldChar w:fldCharType="begin"/>
    </w:r>
    <w:r>
      <w:instrText>PAGE</w:instrText>
    </w:r>
    <w:r>
      <w:fldChar w:fldCharType="separate"/>
    </w:r>
    <w:r>
      <w:t>XXX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5F89" w14:textId="77777777" w:rsidR="009F707F" w:rsidRPr="005F592A" w:rsidRDefault="00C8126D" w:rsidP="00C92E07">
    <w:pPr>
      <w:pStyle w:val="Footer"/>
    </w:pPr>
    <w:r>
      <w:rPr>
        <w:rStyle w:val="NAM"/>
      </w:rPr>
      <w:t>ENTRÉES AUTOMATIQUES COULISSANTES</w:t>
    </w:r>
    <w:r>
      <w:tab/>
    </w:r>
    <w:r>
      <w:tab/>
    </w:r>
    <w:r>
      <w:rPr>
        <w:rStyle w:val="NUM"/>
      </w:rPr>
      <w:t xml:space="preserve">08 42 29.23 </w:t>
    </w:r>
    <w:r>
      <w:t xml:space="preserve">- </w:t>
    </w:r>
    <w:r w:rsidRPr="005F592A">
      <w:fldChar w:fldCharType="begin"/>
    </w:r>
    <w:r w:rsidRPr="005F592A">
      <w:instrText xml:space="preserve"> PAGE  \* MERGEFORMAT </w:instrText>
    </w:r>
    <w:r w:rsidRPr="005F592A">
      <w:fldChar w:fldCharType="separate"/>
    </w:r>
    <w:r w:rsidR="00316298">
      <w:t>1</w:t>
    </w:r>
    <w:r w:rsidRPr="005F592A">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739C" w14:textId="77777777" w:rsidR="00666F13" w:rsidRDefault="0066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667D" w14:textId="77777777" w:rsidR="00822141" w:rsidRDefault="00822141">
      <w:r>
        <w:separator/>
      </w:r>
    </w:p>
  </w:footnote>
  <w:footnote w:type="continuationSeparator" w:id="0">
    <w:p w14:paraId="73717ED0" w14:textId="77777777" w:rsidR="00822141" w:rsidRDefault="0082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0D52" w14:textId="77777777" w:rsidR="009F707F" w:rsidRDefault="00C8126D" w:rsidP="001D47FD">
    <w:pPr>
      <w:pStyle w:val="HDR"/>
      <w:tabs>
        <w:tab w:val="clear" w:pos="9648"/>
        <w:tab w:val="right" w:pos="8640"/>
      </w:tabs>
    </w:pPr>
    <w:proofErr w:type="spellStart"/>
    <w:r>
      <w:t>SpecText</w:t>
    </w:r>
    <w:proofErr w:type="spellEnd"/>
    <w:r>
      <w:t>® Copyright 2011</w:t>
    </w:r>
    <w:r>
      <w:tab/>
    </w:r>
    <w:r>
      <w:tab/>
      <w:t>10/2010</w:t>
    </w:r>
  </w:p>
  <w:p w14:paraId="12F6DF54" w14:textId="77777777" w:rsidR="009F707F" w:rsidRDefault="00C8126D" w:rsidP="001D47FD">
    <w:pPr>
      <w:pStyle w:val="HDR"/>
      <w:tabs>
        <w:tab w:val="clear" w:pos="9648"/>
        <w:tab w:val="right" w:pos="8640"/>
      </w:tabs>
    </w:pPr>
    <w:r>
      <w:t>Architectural Computer Services, Inc. (ARCOM)</w:t>
    </w:r>
    <w:r>
      <w:tab/>
    </w:r>
    <w:r>
      <w:tab/>
      <w:t>Réservé aux titulaires de licence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8859" w14:textId="7F6074B3" w:rsidR="009F707F" w:rsidRPr="00DB5DB0" w:rsidRDefault="00822141" w:rsidP="00DB5DB0">
    <w:pPr>
      <w:pStyle w:val="Header"/>
      <w:tabs>
        <w:tab w:val="center" w:pos="5040"/>
      </w:tabs>
      <w:jc w:val="right"/>
      <w:rPr>
        <w:rFonts w:cs="Arial"/>
      </w:rPr>
    </w:pPr>
    <w:r>
      <w:pict w14:anchorId="7A12E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ASSAABLOY_black_150mm150dpi" style="position:absolute;left:0;text-align:left;margin-left:0;margin-top:11.25pt;width:122.7pt;height:17pt;z-index:251657728;visibility:visible" o:allowoverlap="f">
          <v:imagedata r:id="rId1" o:title="ASSAABLOY_black_150mm150dpi"/>
        </v:shape>
      </w:pict>
    </w:r>
    <w:r w:rsidR="00AF690C" w:rsidRPr="00AF690C">
      <w:t xml:space="preserve"> </w:t>
    </w:r>
    <w:r w:rsidR="00AF690C" w:rsidRPr="00AF690C">
      <w:t>Systèmes d'Entrée ASSA ABLOY</w:t>
    </w:r>
    <w:r w:rsidR="00AF690C">
      <w:t xml:space="preserve"> </w:t>
    </w:r>
    <w:proofErr w:type="spellStart"/>
    <w:r w:rsidR="00C8126D">
      <w:t>SpecDesk</w:t>
    </w:r>
    <w:proofErr w:type="spellEnd"/>
    <w:r w:rsidR="00C8126D">
      <w:t xml:space="preserve"> </w:t>
    </w:r>
  </w:p>
  <w:p w14:paraId="6CCB9A0B" w14:textId="77777777" w:rsidR="009F707F" w:rsidRPr="00DB5DB0" w:rsidRDefault="00C8126D" w:rsidP="00DB5DB0">
    <w:pPr>
      <w:pStyle w:val="Header"/>
      <w:tabs>
        <w:tab w:val="center" w:pos="4590"/>
      </w:tabs>
      <w:jc w:val="right"/>
      <w:rPr>
        <w:rFonts w:cs="Arial"/>
      </w:rPr>
    </w:pPr>
    <w:r>
      <w:t>1-877-SPEC-123</w:t>
    </w:r>
  </w:p>
  <w:p w14:paraId="59E17E6C" w14:textId="77777777" w:rsidR="009F707F" w:rsidRPr="004A29EE" w:rsidRDefault="00C8126D" w:rsidP="00DB5DB0">
    <w:pPr>
      <w:pStyle w:val="Header"/>
      <w:tabs>
        <w:tab w:val="left" w:pos="1455"/>
        <w:tab w:val="center" w:pos="4590"/>
      </w:tabs>
      <w:rPr>
        <w:rStyle w:val="CPR"/>
        <w:rFonts w:cs="Arial"/>
        <w:caps/>
      </w:rPr>
    </w:pPr>
    <w:r>
      <w:tab/>
    </w:r>
    <w:r>
      <w:tab/>
    </w:r>
    <w:r>
      <w:tab/>
    </w:r>
    <w:r>
      <w:tab/>
      <w:t>specdesk.na.entrance@assaabloy.com</w:t>
    </w:r>
  </w:p>
  <w:p w14:paraId="3ABBDAC3" w14:textId="77777777" w:rsidR="009F707F" w:rsidRPr="004A29EE" w:rsidRDefault="009F707F" w:rsidP="00DB5DB0">
    <w:pPr>
      <w:pStyle w:val="Header"/>
      <w:tabs>
        <w:tab w:val="center" w:pos="4590"/>
      </w:tabs>
      <w:rPr>
        <w:rStyle w:val="CPR"/>
        <w:rFonts w:cs="Arial"/>
        <w:caps/>
        <w:sz w:val="16"/>
        <w:szCs w:val="16"/>
      </w:rPr>
    </w:pPr>
  </w:p>
  <w:p w14:paraId="53C44966" w14:textId="77777777" w:rsidR="009F707F" w:rsidRPr="00DB5DB0" w:rsidRDefault="009F707F" w:rsidP="00DB5DB0">
    <w:pPr>
      <w:pStyle w:val="Header"/>
      <w:tabs>
        <w:tab w:val="center" w:pos="4590"/>
      </w:tabs>
      <w:rPr>
        <w:rStyle w:val="CPR"/>
        <w:rFonts w:cs="Arial"/>
        <w:caps/>
        <w:sz w:val="18"/>
        <w:szCs w:val="18"/>
      </w:rPr>
    </w:pPr>
  </w:p>
  <w:p w14:paraId="2C40B0BD" w14:textId="77777777" w:rsidR="009F707F" w:rsidRPr="00DB5DB0" w:rsidRDefault="00C8126D" w:rsidP="00DB5DB0">
    <w:pPr>
      <w:pStyle w:val="Header"/>
      <w:tabs>
        <w:tab w:val="center" w:pos="4590"/>
      </w:tabs>
      <w:rPr>
        <w:rFonts w:cs="Arial"/>
        <w:b/>
        <w:i/>
        <w:caps/>
      </w:rPr>
    </w:pPr>
    <w:r>
      <w:rPr>
        <w:rStyle w:val="CPR"/>
        <w:b/>
        <w:i/>
      </w:rPr>
      <w:t>[</w:t>
    </w:r>
    <w:r>
      <w:rPr>
        <w:b/>
        <w:i/>
      </w:rPr>
      <w:t>Insérer le nom du projet</w:t>
    </w:r>
    <w:r>
      <w:rPr>
        <w:rStyle w:val="CPR"/>
        <w:b/>
        <w:i/>
      </w:rPr>
      <w:t>]</w:t>
    </w:r>
    <w:r>
      <w:tab/>
    </w:r>
    <w:r>
      <w:tab/>
    </w:r>
    <w:r>
      <w:tab/>
    </w:r>
    <w:r>
      <w:rPr>
        <w:b/>
        <w:i/>
        <w:caps/>
      </w:rPr>
      <w:t>[</w:t>
    </w:r>
    <w:r>
      <w:rPr>
        <w:b/>
        <w:i/>
      </w:rPr>
      <w:t xml:space="preserve">ASSA ABLOY </w:t>
    </w:r>
    <w:r>
      <w:rPr>
        <w:b/>
        <w:i/>
        <w:caps/>
      </w:rPr>
      <w:t>sl500 cgl FBO]</w:t>
    </w:r>
  </w:p>
  <w:p w14:paraId="48C8FE9A" w14:textId="77777777" w:rsidR="009F707F" w:rsidRPr="00DB5DB0" w:rsidRDefault="00C8126D" w:rsidP="00DB5DB0">
    <w:pPr>
      <w:pStyle w:val="Header"/>
      <w:tabs>
        <w:tab w:val="center" w:pos="5040"/>
      </w:tabs>
      <w:rPr>
        <w:rFonts w:cs="Arial"/>
        <w:b/>
        <w:i/>
        <w:caps/>
      </w:rPr>
    </w:pPr>
    <w:r>
      <w:rPr>
        <w:b/>
        <w:i/>
        <w:caps/>
      </w:rPr>
      <w:t>[</w:t>
    </w:r>
    <w:r>
      <w:rPr>
        <w:rStyle w:val="CPR"/>
        <w:b/>
        <w:i/>
        <w:caps/>
      </w:rPr>
      <w:t>insérer le nom du cabinet d'architecture]</w:t>
    </w:r>
    <w:r>
      <w:rPr>
        <w:b/>
        <w:i/>
        <w:caps/>
      </w:rPr>
      <w:t>]</w:t>
    </w:r>
    <w:r>
      <w:rPr>
        <w:caps/>
      </w:rPr>
      <w:tab/>
    </w:r>
    <w:r>
      <w:rPr>
        <w:caps/>
      </w:rPr>
      <w:tab/>
    </w:r>
    <w:r>
      <w:rPr>
        <w:caps/>
      </w:rPr>
      <w:tab/>
    </w:r>
    <w:r>
      <w:rPr>
        <w:b/>
        <w:i/>
        <w:caps/>
      </w:rPr>
      <w:t>[insérer la date]</w:t>
    </w:r>
  </w:p>
  <w:p w14:paraId="61DC3FC5" w14:textId="77777777" w:rsidR="009F707F" w:rsidRPr="00DB5DB0" w:rsidRDefault="009F707F" w:rsidP="00DB5DB0">
    <w:pPr>
      <w:pStyle w:val="Header"/>
      <w:tabs>
        <w:tab w:val="center" w:pos="5040"/>
      </w:tabs>
      <w:rPr>
        <w:rFonts w:cs="Arial"/>
        <w:caps/>
      </w:rPr>
    </w:pPr>
  </w:p>
  <w:p w14:paraId="598762FF" w14:textId="77777777" w:rsidR="009F707F" w:rsidRPr="00DB5DB0" w:rsidRDefault="009F707F" w:rsidP="00DB5DB0">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3772" w14:textId="77777777" w:rsidR="00AF690C" w:rsidRDefault="00AF6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D7E4FB5C"/>
    <w:name w:val="BesamSpecs"/>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num w:numId="1" w16cid:durableId="222757117">
    <w:abstractNumId w:val="1"/>
  </w:num>
  <w:num w:numId="2" w16cid:durableId="618802837">
    <w:abstractNumId w:val="0"/>
  </w:num>
  <w:num w:numId="3" w16cid:durableId="1363827842">
    <w:abstractNumId w:val="1"/>
  </w:num>
  <w:num w:numId="4" w16cid:durableId="57933850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5" w16cid:durableId="36156249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6" w16cid:durableId="1119683882">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7" w16cid:durableId="115796367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8" w16cid:durableId="1939362520">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ind w:left="864" w:hanging="864"/>
        </w:pPr>
        <w:rPr>
          <w:rFonts w:hint="default"/>
        </w:rPr>
      </w:lvl>
    </w:lvlOverride>
    <w:lvlOverride w:ilvl="2">
      <w:lvl w:ilvl="2">
        <w:start w:val="1"/>
        <w:numFmt w:val="upperLetter"/>
        <w:pStyle w:val="PR1"/>
        <w:lvlText w:val="%3."/>
        <w:lvlJc w:val="left"/>
        <w:pPr>
          <w:ind w:left="864" w:hanging="576"/>
        </w:pPr>
        <w:rPr>
          <w:rFonts w:hint="default"/>
        </w:rPr>
      </w:lvl>
    </w:lvlOverride>
    <w:lvlOverride w:ilvl="3">
      <w:lvl w:ilvl="3">
        <w:start w:val="1"/>
        <w:numFmt w:val="decimal"/>
        <w:pStyle w:val="PR2"/>
        <w:lvlText w:val="%4."/>
        <w:lvlJc w:val="left"/>
        <w:pPr>
          <w:ind w:left="1440" w:hanging="576"/>
        </w:pPr>
        <w:rPr>
          <w:rFonts w:hint="default"/>
        </w:rPr>
      </w:lvl>
    </w:lvlOverride>
    <w:lvlOverride w:ilvl="4">
      <w:lvl w:ilvl="4">
        <w:start w:val="1"/>
        <w:numFmt w:val="lowerLetter"/>
        <w:pStyle w:val="PR3"/>
        <w:lvlText w:val="%5."/>
        <w:lvlJc w:val="left"/>
        <w:pPr>
          <w:ind w:left="2016" w:hanging="576"/>
        </w:pPr>
        <w:rPr>
          <w:rFonts w:hint="default"/>
        </w:rPr>
      </w:lvl>
    </w:lvlOverride>
    <w:lvlOverride w:ilvl="5">
      <w:lvl w:ilvl="5">
        <w:start w:val="1"/>
        <w:numFmt w:val="decimal"/>
        <w:pStyle w:val="PR4"/>
        <w:lvlText w:val="%6)"/>
        <w:lvlJc w:val="left"/>
        <w:pPr>
          <w:ind w:left="2592" w:hanging="576"/>
        </w:pPr>
        <w:rPr>
          <w:rFonts w:hint="default"/>
        </w:rPr>
      </w:lvl>
    </w:lvlOverride>
    <w:lvlOverride w:ilvl="6">
      <w:lvl w:ilvl="6">
        <w:start w:val="1"/>
        <w:numFmt w:val="lowerLetter"/>
        <w:pStyle w:val="PR5"/>
        <w:lvlText w:val="%7)"/>
        <w:lvlJc w:val="left"/>
        <w:pPr>
          <w:ind w:left="3168" w:hanging="576"/>
        </w:pPr>
        <w:rPr>
          <w:rFonts w:hint="default"/>
        </w:rPr>
      </w:lvl>
    </w:lvlOverride>
    <w:lvlOverride w:ilvl="7">
      <w:lvl w:ilvl="7">
        <w:start w:val="1"/>
        <w:numFmt w:val="decimal"/>
        <w:pStyle w:val="PR6"/>
        <w:lvlText w:val="(%8)"/>
        <w:lvlJc w:val="left"/>
        <w:pPr>
          <w:ind w:left="3744" w:hanging="576"/>
        </w:pPr>
        <w:rPr>
          <w:rFonts w:hint="default"/>
        </w:rPr>
      </w:lvl>
    </w:lvlOverride>
    <w:lvlOverride w:ilvl="8">
      <w:lvl w:ilvl="8">
        <w:start w:val="1"/>
        <w:numFmt w:val="lowerLetter"/>
        <w:pStyle w:val="PR7"/>
        <w:lvlText w:val="(%9)"/>
        <w:lvlJc w:val="left"/>
        <w:pPr>
          <w:ind w:left="4320" w:hanging="576"/>
        </w:pPr>
        <w:rPr>
          <w:rFonts w:hint="default"/>
        </w:rPr>
      </w:lvl>
    </w:lvlOverride>
  </w:num>
  <w:num w:numId="9" w16cid:durableId="2136828010">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0" w16cid:durableId="1957908257">
    <w:abstractNumId w:val="1"/>
  </w:num>
  <w:num w:numId="11" w16cid:durableId="2074808208">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2" w16cid:durableId="1292135059">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3" w16cid:durableId="1719933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6630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4001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04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9434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654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60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111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305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3234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666F13"/>
    <w:rsid w:val="00005D44"/>
    <w:rsid w:val="0001034E"/>
    <w:rsid w:val="00012AA4"/>
    <w:rsid w:val="000130DA"/>
    <w:rsid w:val="00015619"/>
    <w:rsid w:val="0002591E"/>
    <w:rsid w:val="0002785F"/>
    <w:rsid w:val="00031638"/>
    <w:rsid w:val="00035563"/>
    <w:rsid w:val="00041577"/>
    <w:rsid w:val="00050A7D"/>
    <w:rsid w:val="000525C3"/>
    <w:rsid w:val="00054E55"/>
    <w:rsid w:val="000579A1"/>
    <w:rsid w:val="000645EC"/>
    <w:rsid w:val="000816F1"/>
    <w:rsid w:val="00085753"/>
    <w:rsid w:val="0009127F"/>
    <w:rsid w:val="000B035C"/>
    <w:rsid w:val="000B26C3"/>
    <w:rsid w:val="000B491B"/>
    <w:rsid w:val="000C3BBA"/>
    <w:rsid w:val="000C49A9"/>
    <w:rsid w:val="000D15DD"/>
    <w:rsid w:val="000D3D20"/>
    <w:rsid w:val="000D5407"/>
    <w:rsid w:val="000D59DF"/>
    <w:rsid w:val="000D5D9F"/>
    <w:rsid w:val="000E34E2"/>
    <w:rsid w:val="000E5C53"/>
    <w:rsid w:val="00114E0C"/>
    <w:rsid w:val="00122844"/>
    <w:rsid w:val="001241E8"/>
    <w:rsid w:val="001323DD"/>
    <w:rsid w:val="0013744E"/>
    <w:rsid w:val="00143222"/>
    <w:rsid w:val="00152E32"/>
    <w:rsid w:val="00155D88"/>
    <w:rsid w:val="00162DEF"/>
    <w:rsid w:val="0016397F"/>
    <w:rsid w:val="00165AE7"/>
    <w:rsid w:val="0017149F"/>
    <w:rsid w:val="00171684"/>
    <w:rsid w:val="0017227C"/>
    <w:rsid w:val="00173330"/>
    <w:rsid w:val="00186C43"/>
    <w:rsid w:val="00193975"/>
    <w:rsid w:val="001A08C7"/>
    <w:rsid w:val="001A7B09"/>
    <w:rsid w:val="001B13A4"/>
    <w:rsid w:val="001C07F6"/>
    <w:rsid w:val="001C7487"/>
    <w:rsid w:val="001D47FD"/>
    <w:rsid w:val="001D5EC9"/>
    <w:rsid w:val="001D6B90"/>
    <w:rsid w:val="001D7AB2"/>
    <w:rsid w:val="001E384A"/>
    <w:rsid w:val="001E3A7D"/>
    <w:rsid w:val="001E4D4A"/>
    <w:rsid w:val="001F32EC"/>
    <w:rsid w:val="0020179A"/>
    <w:rsid w:val="00205E73"/>
    <w:rsid w:val="002126A1"/>
    <w:rsid w:val="00223038"/>
    <w:rsid w:val="002231AF"/>
    <w:rsid w:val="002231C4"/>
    <w:rsid w:val="00232C69"/>
    <w:rsid w:val="00243B5D"/>
    <w:rsid w:val="00251CC4"/>
    <w:rsid w:val="00253F90"/>
    <w:rsid w:val="0026401F"/>
    <w:rsid w:val="00265C69"/>
    <w:rsid w:val="002740D4"/>
    <w:rsid w:val="00285D99"/>
    <w:rsid w:val="00290A1B"/>
    <w:rsid w:val="00291875"/>
    <w:rsid w:val="00293371"/>
    <w:rsid w:val="002943ED"/>
    <w:rsid w:val="002960DD"/>
    <w:rsid w:val="002A546B"/>
    <w:rsid w:val="002B6537"/>
    <w:rsid w:val="002B6A08"/>
    <w:rsid w:val="002C56E7"/>
    <w:rsid w:val="002D1AE6"/>
    <w:rsid w:val="002D294C"/>
    <w:rsid w:val="002D39CE"/>
    <w:rsid w:val="002D7228"/>
    <w:rsid w:val="002D78A1"/>
    <w:rsid w:val="002E5908"/>
    <w:rsid w:val="002E5C74"/>
    <w:rsid w:val="002E6235"/>
    <w:rsid w:val="00316298"/>
    <w:rsid w:val="00321147"/>
    <w:rsid w:val="00325179"/>
    <w:rsid w:val="00327975"/>
    <w:rsid w:val="00333E55"/>
    <w:rsid w:val="003579C5"/>
    <w:rsid w:val="00366B0A"/>
    <w:rsid w:val="00372C65"/>
    <w:rsid w:val="0037726B"/>
    <w:rsid w:val="003A1265"/>
    <w:rsid w:val="003A6A91"/>
    <w:rsid w:val="003B0207"/>
    <w:rsid w:val="003B1F4F"/>
    <w:rsid w:val="003B349D"/>
    <w:rsid w:val="003C09C0"/>
    <w:rsid w:val="003C400D"/>
    <w:rsid w:val="003D1007"/>
    <w:rsid w:val="003D2C36"/>
    <w:rsid w:val="003D4414"/>
    <w:rsid w:val="003D5E98"/>
    <w:rsid w:val="003E2038"/>
    <w:rsid w:val="003E36D2"/>
    <w:rsid w:val="003E58FF"/>
    <w:rsid w:val="003E631A"/>
    <w:rsid w:val="003E7873"/>
    <w:rsid w:val="003F23FA"/>
    <w:rsid w:val="003F2F05"/>
    <w:rsid w:val="003F4772"/>
    <w:rsid w:val="003F4DDC"/>
    <w:rsid w:val="003F5A1A"/>
    <w:rsid w:val="0040243E"/>
    <w:rsid w:val="00404BD0"/>
    <w:rsid w:val="00422D3B"/>
    <w:rsid w:val="00424144"/>
    <w:rsid w:val="00425900"/>
    <w:rsid w:val="00434DDB"/>
    <w:rsid w:val="00437B2B"/>
    <w:rsid w:val="00440375"/>
    <w:rsid w:val="0045555F"/>
    <w:rsid w:val="004556B8"/>
    <w:rsid w:val="00455FD2"/>
    <w:rsid w:val="00467D11"/>
    <w:rsid w:val="00475807"/>
    <w:rsid w:val="004910AE"/>
    <w:rsid w:val="00492CF3"/>
    <w:rsid w:val="004A0965"/>
    <w:rsid w:val="004A29EE"/>
    <w:rsid w:val="004B27B3"/>
    <w:rsid w:val="004B7541"/>
    <w:rsid w:val="004C0C28"/>
    <w:rsid w:val="004D3E2F"/>
    <w:rsid w:val="00506854"/>
    <w:rsid w:val="0051083B"/>
    <w:rsid w:val="00511D16"/>
    <w:rsid w:val="005141F7"/>
    <w:rsid w:val="0051541C"/>
    <w:rsid w:val="00515783"/>
    <w:rsid w:val="005173D7"/>
    <w:rsid w:val="0052447E"/>
    <w:rsid w:val="0053092E"/>
    <w:rsid w:val="00540AC0"/>
    <w:rsid w:val="005516C5"/>
    <w:rsid w:val="00551CBC"/>
    <w:rsid w:val="005752F3"/>
    <w:rsid w:val="00576EF9"/>
    <w:rsid w:val="005951F9"/>
    <w:rsid w:val="0059722B"/>
    <w:rsid w:val="005A21D0"/>
    <w:rsid w:val="005A549F"/>
    <w:rsid w:val="005B57FC"/>
    <w:rsid w:val="005B6471"/>
    <w:rsid w:val="005C0592"/>
    <w:rsid w:val="005D0D10"/>
    <w:rsid w:val="005D28EB"/>
    <w:rsid w:val="005D4FB9"/>
    <w:rsid w:val="005D6118"/>
    <w:rsid w:val="005D6756"/>
    <w:rsid w:val="005E7DB7"/>
    <w:rsid w:val="005F0E12"/>
    <w:rsid w:val="005F592A"/>
    <w:rsid w:val="00600491"/>
    <w:rsid w:val="00603C26"/>
    <w:rsid w:val="00604FF4"/>
    <w:rsid w:val="006067E1"/>
    <w:rsid w:val="006112CE"/>
    <w:rsid w:val="006161BB"/>
    <w:rsid w:val="006174FE"/>
    <w:rsid w:val="006344CD"/>
    <w:rsid w:val="0064355A"/>
    <w:rsid w:val="00650A31"/>
    <w:rsid w:val="0065344A"/>
    <w:rsid w:val="006565EF"/>
    <w:rsid w:val="00657A6A"/>
    <w:rsid w:val="006645D8"/>
    <w:rsid w:val="00666F13"/>
    <w:rsid w:val="0067113B"/>
    <w:rsid w:val="00676103"/>
    <w:rsid w:val="0067715F"/>
    <w:rsid w:val="00690E18"/>
    <w:rsid w:val="006946FA"/>
    <w:rsid w:val="0069496F"/>
    <w:rsid w:val="006955C1"/>
    <w:rsid w:val="006A09C5"/>
    <w:rsid w:val="006A5CFB"/>
    <w:rsid w:val="006A6CA4"/>
    <w:rsid w:val="006C5103"/>
    <w:rsid w:val="006D15B6"/>
    <w:rsid w:val="006D7D0A"/>
    <w:rsid w:val="006E29A2"/>
    <w:rsid w:val="006E40F8"/>
    <w:rsid w:val="006E49AC"/>
    <w:rsid w:val="006F0A62"/>
    <w:rsid w:val="006F131F"/>
    <w:rsid w:val="006F1B31"/>
    <w:rsid w:val="006F5009"/>
    <w:rsid w:val="006F5246"/>
    <w:rsid w:val="006F7303"/>
    <w:rsid w:val="0071044E"/>
    <w:rsid w:val="00712886"/>
    <w:rsid w:val="0071506B"/>
    <w:rsid w:val="00715609"/>
    <w:rsid w:val="007162F5"/>
    <w:rsid w:val="00716A76"/>
    <w:rsid w:val="00720D55"/>
    <w:rsid w:val="0072167E"/>
    <w:rsid w:val="007225B1"/>
    <w:rsid w:val="007264EE"/>
    <w:rsid w:val="00726BEC"/>
    <w:rsid w:val="00726C15"/>
    <w:rsid w:val="00735EB0"/>
    <w:rsid w:val="00736781"/>
    <w:rsid w:val="00745CA9"/>
    <w:rsid w:val="007502E1"/>
    <w:rsid w:val="0075152B"/>
    <w:rsid w:val="007520E4"/>
    <w:rsid w:val="00753BD9"/>
    <w:rsid w:val="00754E31"/>
    <w:rsid w:val="0075752E"/>
    <w:rsid w:val="00760263"/>
    <w:rsid w:val="0076398A"/>
    <w:rsid w:val="00771257"/>
    <w:rsid w:val="00780919"/>
    <w:rsid w:val="00784F3B"/>
    <w:rsid w:val="00794ACE"/>
    <w:rsid w:val="007A0CDE"/>
    <w:rsid w:val="007B38B9"/>
    <w:rsid w:val="007B4163"/>
    <w:rsid w:val="007B5685"/>
    <w:rsid w:val="007C3A91"/>
    <w:rsid w:val="007D09FA"/>
    <w:rsid w:val="007D3F7D"/>
    <w:rsid w:val="007D4C59"/>
    <w:rsid w:val="007D5C1B"/>
    <w:rsid w:val="007E01A3"/>
    <w:rsid w:val="007F655A"/>
    <w:rsid w:val="00812084"/>
    <w:rsid w:val="00814CAE"/>
    <w:rsid w:val="00815D0D"/>
    <w:rsid w:val="00822141"/>
    <w:rsid w:val="00822DD3"/>
    <w:rsid w:val="0082382C"/>
    <w:rsid w:val="00826C15"/>
    <w:rsid w:val="00833093"/>
    <w:rsid w:val="0083444D"/>
    <w:rsid w:val="00841655"/>
    <w:rsid w:val="00844ED6"/>
    <w:rsid w:val="008462CD"/>
    <w:rsid w:val="00847B29"/>
    <w:rsid w:val="008515C7"/>
    <w:rsid w:val="00854F9A"/>
    <w:rsid w:val="00855F49"/>
    <w:rsid w:val="00860337"/>
    <w:rsid w:val="00867BC0"/>
    <w:rsid w:val="008813F8"/>
    <w:rsid w:val="00884D75"/>
    <w:rsid w:val="00886D1A"/>
    <w:rsid w:val="00886E10"/>
    <w:rsid w:val="00890409"/>
    <w:rsid w:val="008905A2"/>
    <w:rsid w:val="008B74F8"/>
    <w:rsid w:val="008B7DFD"/>
    <w:rsid w:val="008C2584"/>
    <w:rsid w:val="008C2D21"/>
    <w:rsid w:val="008E506F"/>
    <w:rsid w:val="008F2235"/>
    <w:rsid w:val="008F3A74"/>
    <w:rsid w:val="009036B4"/>
    <w:rsid w:val="009065E9"/>
    <w:rsid w:val="00907F01"/>
    <w:rsid w:val="009107AF"/>
    <w:rsid w:val="00915751"/>
    <w:rsid w:val="0091593A"/>
    <w:rsid w:val="0091656E"/>
    <w:rsid w:val="00923115"/>
    <w:rsid w:val="009251E7"/>
    <w:rsid w:val="009311E2"/>
    <w:rsid w:val="00932857"/>
    <w:rsid w:val="00935D6D"/>
    <w:rsid w:val="00944C8D"/>
    <w:rsid w:val="00945451"/>
    <w:rsid w:val="0094626E"/>
    <w:rsid w:val="0095626B"/>
    <w:rsid w:val="00956F90"/>
    <w:rsid w:val="00971381"/>
    <w:rsid w:val="00971655"/>
    <w:rsid w:val="00974029"/>
    <w:rsid w:val="00974DC7"/>
    <w:rsid w:val="009774E6"/>
    <w:rsid w:val="00982410"/>
    <w:rsid w:val="009835AE"/>
    <w:rsid w:val="00983AA6"/>
    <w:rsid w:val="0098622D"/>
    <w:rsid w:val="009934EE"/>
    <w:rsid w:val="0099352D"/>
    <w:rsid w:val="009A4BE9"/>
    <w:rsid w:val="009B02E8"/>
    <w:rsid w:val="009B57A8"/>
    <w:rsid w:val="009C1FC4"/>
    <w:rsid w:val="009C2359"/>
    <w:rsid w:val="009C2A1C"/>
    <w:rsid w:val="009D001F"/>
    <w:rsid w:val="009D3BE2"/>
    <w:rsid w:val="009E26F9"/>
    <w:rsid w:val="009E4834"/>
    <w:rsid w:val="009E530B"/>
    <w:rsid w:val="009E655D"/>
    <w:rsid w:val="009E667C"/>
    <w:rsid w:val="009F317C"/>
    <w:rsid w:val="009F3619"/>
    <w:rsid w:val="009F36D4"/>
    <w:rsid w:val="009F707F"/>
    <w:rsid w:val="00A00421"/>
    <w:rsid w:val="00A012B7"/>
    <w:rsid w:val="00A05C90"/>
    <w:rsid w:val="00A14F7E"/>
    <w:rsid w:val="00A15CEE"/>
    <w:rsid w:val="00A218E8"/>
    <w:rsid w:val="00A43F2D"/>
    <w:rsid w:val="00A52DEE"/>
    <w:rsid w:val="00A62E7B"/>
    <w:rsid w:val="00A64BBE"/>
    <w:rsid w:val="00A64F79"/>
    <w:rsid w:val="00A650E7"/>
    <w:rsid w:val="00A65CD3"/>
    <w:rsid w:val="00A81F5B"/>
    <w:rsid w:val="00A85BB9"/>
    <w:rsid w:val="00A936A1"/>
    <w:rsid w:val="00A9436E"/>
    <w:rsid w:val="00A96C82"/>
    <w:rsid w:val="00AA3BA3"/>
    <w:rsid w:val="00AA6094"/>
    <w:rsid w:val="00AA76F4"/>
    <w:rsid w:val="00AB3F04"/>
    <w:rsid w:val="00AE18C0"/>
    <w:rsid w:val="00AE654F"/>
    <w:rsid w:val="00AF517D"/>
    <w:rsid w:val="00AF690C"/>
    <w:rsid w:val="00AF7257"/>
    <w:rsid w:val="00B03926"/>
    <w:rsid w:val="00B07D38"/>
    <w:rsid w:val="00B1116C"/>
    <w:rsid w:val="00B1160F"/>
    <w:rsid w:val="00B141F7"/>
    <w:rsid w:val="00B16F7E"/>
    <w:rsid w:val="00B366CD"/>
    <w:rsid w:val="00B37A34"/>
    <w:rsid w:val="00B400DE"/>
    <w:rsid w:val="00B44E3A"/>
    <w:rsid w:val="00B47AEE"/>
    <w:rsid w:val="00B50279"/>
    <w:rsid w:val="00B54ADE"/>
    <w:rsid w:val="00B57C84"/>
    <w:rsid w:val="00B60F65"/>
    <w:rsid w:val="00B6234D"/>
    <w:rsid w:val="00B631E1"/>
    <w:rsid w:val="00B64BDD"/>
    <w:rsid w:val="00B71537"/>
    <w:rsid w:val="00B72E46"/>
    <w:rsid w:val="00B80BBE"/>
    <w:rsid w:val="00B8144B"/>
    <w:rsid w:val="00B86BA4"/>
    <w:rsid w:val="00B911D9"/>
    <w:rsid w:val="00B91F09"/>
    <w:rsid w:val="00B94860"/>
    <w:rsid w:val="00B94D08"/>
    <w:rsid w:val="00B9627E"/>
    <w:rsid w:val="00BA4631"/>
    <w:rsid w:val="00BA498D"/>
    <w:rsid w:val="00BA55C5"/>
    <w:rsid w:val="00BA6A57"/>
    <w:rsid w:val="00BB56A1"/>
    <w:rsid w:val="00BC1EBD"/>
    <w:rsid w:val="00BC58A5"/>
    <w:rsid w:val="00BC664C"/>
    <w:rsid w:val="00BD4B68"/>
    <w:rsid w:val="00BE1BB8"/>
    <w:rsid w:val="00BE21CB"/>
    <w:rsid w:val="00BE78BC"/>
    <w:rsid w:val="00C01768"/>
    <w:rsid w:val="00C1229B"/>
    <w:rsid w:val="00C13043"/>
    <w:rsid w:val="00C25FC0"/>
    <w:rsid w:val="00C50B3C"/>
    <w:rsid w:val="00C5612D"/>
    <w:rsid w:val="00C5679C"/>
    <w:rsid w:val="00C60700"/>
    <w:rsid w:val="00C623FB"/>
    <w:rsid w:val="00C70B4E"/>
    <w:rsid w:val="00C727F5"/>
    <w:rsid w:val="00C8126D"/>
    <w:rsid w:val="00C8421F"/>
    <w:rsid w:val="00C901B4"/>
    <w:rsid w:val="00C90F9B"/>
    <w:rsid w:val="00C92E07"/>
    <w:rsid w:val="00CA24F0"/>
    <w:rsid w:val="00CB2428"/>
    <w:rsid w:val="00CB2A00"/>
    <w:rsid w:val="00CB34DE"/>
    <w:rsid w:val="00CB7306"/>
    <w:rsid w:val="00CD4C06"/>
    <w:rsid w:val="00CD66B5"/>
    <w:rsid w:val="00CD6EE2"/>
    <w:rsid w:val="00CE3FD5"/>
    <w:rsid w:val="00CE7092"/>
    <w:rsid w:val="00CF1BAC"/>
    <w:rsid w:val="00CF6E3D"/>
    <w:rsid w:val="00D0029A"/>
    <w:rsid w:val="00D0157A"/>
    <w:rsid w:val="00D074E5"/>
    <w:rsid w:val="00D10779"/>
    <w:rsid w:val="00D32D50"/>
    <w:rsid w:val="00D50B09"/>
    <w:rsid w:val="00D53340"/>
    <w:rsid w:val="00D67575"/>
    <w:rsid w:val="00D67B4A"/>
    <w:rsid w:val="00D83F0C"/>
    <w:rsid w:val="00D965A3"/>
    <w:rsid w:val="00DB5DB0"/>
    <w:rsid w:val="00DD2438"/>
    <w:rsid w:val="00DD2D5C"/>
    <w:rsid w:val="00DD3734"/>
    <w:rsid w:val="00DD4A71"/>
    <w:rsid w:val="00DD5A03"/>
    <w:rsid w:val="00DD78FB"/>
    <w:rsid w:val="00DE197A"/>
    <w:rsid w:val="00DE38E7"/>
    <w:rsid w:val="00DE40A7"/>
    <w:rsid w:val="00DF1C00"/>
    <w:rsid w:val="00E01A00"/>
    <w:rsid w:val="00E052F4"/>
    <w:rsid w:val="00E134D9"/>
    <w:rsid w:val="00E13CE6"/>
    <w:rsid w:val="00E148C9"/>
    <w:rsid w:val="00E16403"/>
    <w:rsid w:val="00E16FAF"/>
    <w:rsid w:val="00E234D6"/>
    <w:rsid w:val="00E24BDA"/>
    <w:rsid w:val="00E35432"/>
    <w:rsid w:val="00E536FF"/>
    <w:rsid w:val="00E56A72"/>
    <w:rsid w:val="00E62769"/>
    <w:rsid w:val="00E63990"/>
    <w:rsid w:val="00E716A9"/>
    <w:rsid w:val="00E74030"/>
    <w:rsid w:val="00E75531"/>
    <w:rsid w:val="00E7720F"/>
    <w:rsid w:val="00E872ED"/>
    <w:rsid w:val="00EA50BE"/>
    <w:rsid w:val="00EA5BD0"/>
    <w:rsid w:val="00EB1781"/>
    <w:rsid w:val="00EC3B7A"/>
    <w:rsid w:val="00ED0448"/>
    <w:rsid w:val="00ED15C3"/>
    <w:rsid w:val="00ED51C2"/>
    <w:rsid w:val="00ED7030"/>
    <w:rsid w:val="00EE3FC3"/>
    <w:rsid w:val="00EE669C"/>
    <w:rsid w:val="00EF377A"/>
    <w:rsid w:val="00EF53DE"/>
    <w:rsid w:val="00F0270F"/>
    <w:rsid w:val="00F11015"/>
    <w:rsid w:val="00F118F7"/>
    <w:rsid w:val="00F16AEF"/>
    <w:rsid w:val="00F25040"/>
    <w:rsid w:val="00F25DA2"/>
    <w:rsid w:val="00F26F6C"/>
    <w:rsid w:val="00F27D7A"/>
    <w:rsid w:val="00F30C9A"/>
    <w:rsid w:val="00F5503B"/>
    <w:rsid w:val="00F57654"/>
    <w:rsid w:val="00F63644"/>
    <w:rsid w:val="00F63876"/>
    <w:rsid w:val="00F66DF9"/>
    <w:rsid w:val="00F763B2"/>
    <w:rsid w:val="00F849EF"/>
    <w:rsid w:val="00FA7F77"/>
    <w:rsid w:val="00FB2A38"/>
    <w:rsid w:val="00FB3290"/>
    <w:rsid w:val="00FB6472"/>
    <w:rsid w:val="00FB7F21"/>
    <w:rsid w:val="00FC1714"/>
    <w:rsid w:val="00FC48D6"/>
    <w:rsid w:val="00FD5ED1"/>
    <w:rsid w:val="00FE0412"/>
    <w:rsid w:val="00FE5262"/>
    <w:rsid w:val="00FF4DE3"/>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1804D"/>
  <w15:chartTrackingRefBased/>
  <w15:docId w15:val="{39DD213D-32C2-4E69-893B-C2F3FBA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2"/>
      <w:lang w:val="fr-CA"/>
    </w:rPr>
  </w:style>
  <w:style w:type="paragraph" w:styleId="Heading1">
    <w:name w:val="heading 1"/>
    <w:next w:val="Heading4"/>
    <w:link w:val="Heading1Char"/>
    <w:qFormat/>
    <w:rsid w:val="00B80BBE"/>
    <w:pPr>
      <w:keepNext/>
      <w:keepLines/>
      <w:numPr>
        <w:numId w:val="2"/>
      </w:numPr>
      <w:spacing w:before="240" w:after="60"/>
      <w:outlineLvl w:val="0"/>
    </w:pPr>
    <w:rPr>
      <w:rFonts w:cs="Arial"/>
      <w:b/>
      <w:caps/>
      <w:sz w:val="22"/>
      <w:szCs w:val="22"/>
      <w:lang w:val="fr-CA"/>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rFonts w:cs="Arial"/>
      <w:sz w:val="22"/>
      <w:szCs w:val="22"/>
      <w:lang w:val="fr-CA"/>
    </w:rPr>
  </w:style>
  <w:style w:type="paragraph" w:styleId="Heading5">
    <w:name w:val="heading 5"/>
    <w:basedOn w:val="Normal"/>
    <w:link w:val="Heading5Char"/>
    <w:qFormat/>
    <w:rsid w:val="00B80BBE"/>
    <w:pPr>
      <w:keepLines/>
      <w:numPr>
        <w:ilvl w:val="4"/>
        <w:numId w:val="2"/>
      </w:numPr>
      <w:ind w:left="2016" w:hanging="576"/>
      <w:outlineLvl w:val="4"/>
    </w:pPr>
    <w:rPr>
      <w:rFonts w:cs="Arial"/>
      <w:szCs w:val="22"/>
    </w:rPr>
  </w:style>
  <w:style w:type="paragraph" w:styleId="Heading6">
    <w:name w:val="heading 6"/>
    <w:basedOn w:val="Normal"/>
    <w:link w:val="Heading6Char"/>
    <w:qFormat/>
    <w:rsid w:val="00B80BBE"/>
    <w:pPr>
      <w:keepLines/>
      <w:numPr>
        <w:ilvl w:val="5"/>
        <w:numId w:val="2"/>
      </w:numPr>
      <w:outlineLvl w:val="5"/>
    </w:pPr>
    <w:rPr>
      <w:rFonts w:cs="Arial"/>
      <w:szCs w:val="22"/>
    </w:rPr>
  </w:style>
  <w:style w:type="paragraph" w:styleId="Heading7">
    <w:name w:val="heading 7"/>
    <w:basedOn w:val="Normal"/>
    <w:link w:val="Heading7Char"/>
    <w:qFormat/>
    <w:rsid w:val="00B80BBE"/>
    <w:pPr>
      <w:keepLines/>
      <w:numPr>
        <w:ilvl w:val="6"/>
        <w:numId w:val="2"/>
      </w:numPr>
      <w:outlineLvl w:val="6"/>
    </w:pPr>
    <w:rPr>
      <w:rFonts w:cs="Arial"/>
      <w:szCs w:val="22"/>
    </w:rPr>
  </w:style>
  <w:style w:type="paragraph" w:styleId="Heading8">
    <w:name w:val="heading 8"/>
    <w:basedOn w:val="Normal"/>
    <w:link w:val="Heading8Char"/>
    <w:qFormat/>
    <w:rsid w:val="00B80BBE"/>
    <w:pPr>
      <w:keepLines/>
      <w:numPr>
        <w:ilvl w:val="7"/>
        <w:numId w:val="2"/>
      </w:numPr>
      <w:outlineLvl w:val="7"/>
    </w:pPr>
    <w:rPr>
      <w:rFonts w:cs="Arial"/>
      <w:szCs w:val="22"/>
    </w:rPr>
  </w:style>
  <w:style w:type="paragraph" w:styleId="Heading9">
    <w:name w:val="heading 9"/>
    <w:basedOn w:val="Normal"/>
    <w:next w:val="Normal"/>
    <w:link w:val="Heading9Char"/>
    <w:qFormat/>
    <w:rsid w:val="00B80BBE"/>
    <w:pPr>
      <w:keepLines/>
      <w:numPr>
        <w:ilvl w:val="8"/>
        <w:numId w:val="2"/>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5B6471"/>
    <w:pPr>
      <w:keepNext/>
      <w:numPr>
        <w:ilvl w:val="1"/>
        <w:numId w:val="1"/>
      </w:numPr>
      <w:tabs>
        <w:tab w:val="left" w:pos="576"/>
      </w:tabs>
      <w:suppressAutoHyphens/>
      <w:spacing w:before="240"/>
      <w:outlineLvl w:val="1"/>
    </w:pPr>
  </w:style>
  <w:style w:type="paragraph" w:customStyle="1" w:styleId="PR1">
    <w:name w:val="PR1"/>
    <w:basedOn w:val="Normal"/>
    <w:link w:val="PR1Char"/>
    <w:autoRedefine/>
    <w:qFormat/>
    <w:rsid w:val="003F2F05"/>
    <w:pPr>
      <w:numPr>
        <w:ilvl w:val="2"/>
        <w:numId w:val="1"/>
      </w:numPr>
      <w:suppressAutoHyphens/>
      <w:spacing w:before="240" w:after="120"/>
      <w:jc w:val="both"/>
      <w:outlineLvl w:val="2"/>
    </w:pPr>
  </w:style>
  <w:style w:type="paragraph" w:customStyle="1" w:styleId="PR2">
    <w:name w:val="PR2"/>
    <w:basedOn w:val="Normal"/>
    <w:link w:val="PR2Char"/>
    <w:qFormat/>
    <w:rsid w:val="005B6471"/>
    <w:pPr>
      <w:numPr>
        <w:ilvl w:val="3"/>
        <w:numId w:val="1"/>
      </w:numPr>
      <w:suppressAutoHyphens/>
      <w:jc w:val="both"/>
      <w:outlineLvl w:val="3"/>
    </w:pPr>
    <w:rPr>
      <w:rFonts w:cs="Arial"/>
      <w:szCs w:val="22"/>
    </w:rPr>
  </w:style>
  <w:style w:type="paragraph" w:customStyle="1" w:styleId="PR3">
    <w:name w:val="PR3"/>
    <w:basedOn w:val="Normal"/>
    <w:link w:val="PR3Char"/>
    <w:qFormat/>
    <w:rsid w:val="005B6471"/>
    <w:pPr>
      <w:numPr>
        <w:ilvl w:val="4"/>
        <w:numId w:val="1"/>
      </w:numPr>
      <w:suppressAutoHyphens/>
      <w:outlineLvl w:val="4"/>
    </w:pPr>
  </w:style>
  <w:style w:type="paragraph" w:customStyle="1" w:styleId="PR4">
    <w:name w:val="PR4"/>
    <w:basedOn w:val="Normal"/>
    <w:rsid w:val="005B6471"/>
    <w:pPr>
      <w:numPr>
        <w:ilvl w:val="5"/>
        <w:numId w:val="1"/>
      </w:numPr>
      <w:suppressAutoHyphens/>
      <w:outlineLvl w:val="5"/>
    </w:pPr>
  </w:style>
  <w:style w:type="paragraph" w:customStyle="1" w:styleId="PR5">
    <w:name w:val="PR5"/>
    <w:basedOn w:val="Normal"/>
    <w:rsid w:val="00243B5D"/>
    <w:pPr>
      <w:numPr>
        <w:ilvl w:val="6"/>
        <w:numId w:val="1"/>
      </w:numPr>
      <w:tabs>
        <w:tab w:val="left" w:pos="2736"/>
      </w:tabs>
      <w:suppressAutoHyphens/>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3F2F05"/>
    <w:rPr>
      <w:sz w:val="22"/>
    </w:rPr>
  </w:style>
  <w:style w:type="paragraph" w:customStyle="1" w:styleId="SUT">
    <w:name w:val="SUT"/>
    <w:basedOn w:val="Normal"/>
    <w:next w:val="PR1"/>
    <w:rsid w:val="00712886"/>
    <w:pPr>
      <w:suppressAutoHyphens/>
      <w:spacing w:before="240"/>
      <w:jc w:val="both"/>
      <w:outlineLvl w:val="0"/>
    </w:pPr>
    <w:rPr>
      <w:rFonts w:cs="Arial"/>
      <w:snapToGrid w:val="0"/>
      <w:szCs w:val="22"/>
    </w:rPr>
  </w:style>
  <w:style w:type="paragraph" w:customStyle="1" w:styleId="DST">
    <w:name w:val="DST"/>
    <w:basedOn w:val="Normal"/>
    <w:next w:val="PR1"/>
    <w:rsid w:val="00712886"/>
    <w:pPr>
      <w:suppressAutoHyphens/>
      <w:spacing w:before="240"/>
      <w:jc w:val="both"/>
      <w:outlineLvl w:val="0"/>
    </w:pPr>
    <w:rPr>
      <w:rFonts w:cs="Arial"/>
      <w:snapToGrid w:val="0"/>
      <w:szCs w:val="22"/>
    </w:rPr>
  </w:style>
  <w:style w:type="character" w:customStyle="1" w:styleId="PR2Char">
    <w:name w:val="PR2 Char"/>
    <w:link w:val="PR2"/>
    <w:locked/>
    <w:rsid w:val="005B6471"/>
    <w:rPr>
      <w:rFonts w:cs="Arial"/>
      <w:sz w:val="22"/>
      <w:szCs w:val="22"/>
    </w:rPr>
  </w:style>
  <w:style w:type="character" w:customStyle="1" w:styleId="PR3Char">
    <w:name w:val="PR3 Char"/>
    <w:link w:val="PR3"/>
    <w:rsid w:val="005B6471"/>
    <w:rPr>
      <w:sz w:val="22"/>
    </w:rPr>
  </w:style>
  <w:style w:type="character" w:customStyle="1" w:styleId="CPR">
    <w:name w:val="CPR"/>
    <w:basedOn w:val="DefaultParagraphFont"/>
    <w:rsid w:val="00DB5DB0"/>
  </w:style>
  <w:style w:type="character" w:customStyle="1" w:styleId="HeaderChar">
    <w:name w:val="Header Char"/>
    <w:link w:val="Header"/>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rPr>
      <w:rFonts w:cs="Arial"/>
      <w:szCs w:val="24"/>
    </w:r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rPr>
      <w:rFonts w:cs="Arial"/>
      <w:szCs w:val="24"/>
    </w:r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rFonts w:cs="Arial"/>
      <w:szCs w:val="22"/>
    </w:rPr>
  </w:style>
  <w:style w:type="paragraph" w:customStyle="1" w:styleId="TCH">
    <w:name w:val="TCH"/>
    <w:basedOn w:val="Normal"/>
    <w:rsid w:val="00B80BBE"/>
    <w:pPr>
      <w:suppressAutoHyphens/>
    </w:pPr>
    <w:rPr>
      <w:rFonts w:cs="Arial"/>
      <w:szCs w:val="22"/>
    </w:rPr>
  </w:style>
  <w:style w:type="paragraph" w:customStyle="1" w:styleId="P1">
    <w:name w:val="P1"/>
    <w:basedOn w:val="Normal"/>
    <w:rsid w:val="00B80BBE"/>
    <w:pPr>
      <w:tabs>
        <w:tab w:val="left" w:pos="864"/>
      </w:tabs>
      <w:ind w:left="864" w:hanging="576"/>
      <w:jc w:val="both"/>
    </w:pPr>
    <w:rPr>
      <w:rFonts w:cs="Arial"/>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rFonts w:cs="Arial"/>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rFonts w:cs="Arial"/>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rPr>
      <w:rFonts w:cs="Arial"/>
      <w:sz w:val="24"/>
      <w:szCs w:val="24"/>
    </w:rPr>
  </w:style>
  <w:style w:type="paragraph" w:customStyle="1" w:styleId="pr20">
    <w:name w:val="pr2"/>
    <w:basedOn w:val="Normal"/>
    <w:rsid w:val="00B80BBE"/>
    <w:pPr>
      <w:spacing w:before="100" w:beforeAutospacing="1" w:after="100" w:afterAutospacing="1"/>
    </w:pPr>
    <w:rPr>
      <w:rFonts w:cs="Arial"/>
      <w:sz w:val="24"/>
      <w:szCs w:val="24"/>
    </w:r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rFonts w:cs="Arial"/>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rFonts w:cs="Arial"/>
      <w:vanish/>
      <w:color w:val="800080"/>
      <w:szCs w:val="22"/>
      <w:u w:val="single"/>
    </w:rPr>
  </w:style>
  <w:style w:type="paragraph" w:customStyle="1" w:styleId="RJUST">
    <w:name w:val="RJUST"/>
    <w:basedOn w:val="Normal"/>
    <w:rsid w:val="00B80BBE"/>
    <w:pPr>
      <w:jc w:val="right"/>
    </w:pPr>
    <w:rPr>
      <w:rFonts w:cs="Arial"/>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rFonts w:cs="Arial"/>
      <w:szCs w:val="22"/>
    </w:rPr>
  </w:style>
  <w:style w:type="paragraph" w:customStyle="1" w:styleId="TF2">
    <w:name w:val="TF2"/>
    <w:basedOn w:val="Normal"/>
    <w:next w:val="TB2"/>
    <w:rsid w:val="00B80BBE"/>
    <w:pPr>
      <w:suppressAutoHyphens/>
      <w:spacing w:before="240"/>
      <w:ind w:left="864"/>
      <w:jc w:val="both"/>
    </w:pPr>
    <w:rPr>
      <w:rFonts w:cs="Arial"/>
      <w:szCs w:val="22"/>
    </w:rPr>
  </w:style>
  <w:style w:type="paragraph" w:customStyle="1" w:styleId="TF3">
    <w:name w:val="TF3"/>
    <w:basedOn w:val="Normal"/>
    <w:next w:val="TB3"/>
    <w:rsid w:val="00B80BBE"/>
    <w:pPr>
      <w:suppressAutoHyphens/>
      <w:spacing w:before="240"/>
      <w:ind w:left="1440"/>
      <w:jc w:val="both"/>
    </w:pPr>
    <w:rPr>
      <w:rFonts w:cs="Arial"/>
      <w:szCs w:val="22"/>
    </w:rPr>
  </w:style>
  <w:style w:type="paragraph" w:customStyle="1" w:styleId="TF4">
    <w:name w:val="TF4"/>
    <w:basedOn w:val="Normal"/>
    <w:next w:val="TB4"/>
    <w:rsid w:val="00B80BBE"/>
    <w:pPr>
      <w:suppressAutoHyphens/>
      <w:spacing w:before="240"/>
      <w:ind w:left="2016"/>
      <w:jc w:val="both"/>
    </w:pPr>
    <w:rPr>
      <w:rFonts w:cs="Arial"/>
      <w:szCs w:val="22"/>
    </w:rPr>
  </w:style>
  <w:style w:type="paragraph" w:customStyle="1" w:styleId="TF5">
    <w:name w:val="TF5"/>
    <w:basedOn w:val="Normal"/>
    <w:next w:val="TB5"/>
    <w:rsid w:val="00B80BBE"/>
    <w:pPr>
      <w:suppressAutoHyphens/>
      <w:spacing w:before="240"/>
      <w:ind w:left="2592"/>
      <w:jc w:val="both"/>
    </w:pPr>
    <w:rPr>
      <w:rFonts w:cs="Arial"/>
      <w:szCs w:val="22"/>
    </w:rPr>
  </w:style>
  <w:style w:type="paragraph" w:styleId="BodyTextIndent">
    <w:name w:val="Body Text Indent"/>
    <w:basedOn w:val="Normal"/>
    <w:link w:val="BodyTextIndentChar"/>
    <w:rsid w:val="00B80BBE"/>
    <w:pPr>
      <w:spacing w:after="120"/>
      <w:ind w:left="360"/>
    </w:pPr>
    <w:rPr>
      <w:rFonts w:cs="Arial"/>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34"/>
    <w:qFormat/>
    <w:rsid w:val="00B80BBE"/>
    <w:pPr>
      <w:ind w:left="72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aabloyentrance.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assaabloy.com" TargetMode="External"/><Relationship Id="rId4" Type="http://schemas.openxmlformats.org/officeDocument/2006/relationships/settings" Target="settings.xml"/><Relationship Id="rId9" Type="http://schemas.openxmlformats.org/officeDocument/2006/relationships/hyperlink" Target="mailto:specdesk.na.entrance@assaabloy.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hay\Downloads\084229.23_SL500%20CGL%20FBO_v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E833-D174-44EF-B9C6-A168A8B7376E}">
  <ds:schemaRefs>
    <ds:schemaRef ds:uri="http://schemas.openxmlformats.org/officeDocument/2006/bibliography"/>
  </ds:schemaRefs>
</ds:datastoreItem>
</file>

<file path=docMetadata/LabelInfo.xml><?xml version="1.0" encoding="utf-8"?>
<clbl:labelList xmlns:clbl="http://schemas.microsoft.com/office/2020/mipLabelMetadata">
  <clbl:label id="{bb5bb5b8-8421-45a2-8163-bc69b262e96d}" enabled="1" method="Privileged" siteId="{f0bdc1c9-5148-4f86-ac40-edd976e1814c}" contentBits="2" removed="0"/>
</clbl:labelList>
</file>

<file path=docProps/app.xml><?xml version="1.0" encoding="utf-8"?>
<Properties xmlns="http://schemas.openxmlformats.org/officeDocument/2006/extended-properties" xmlns:vt="http://schemas.openxmlformats.org/officeDocument/2006/docPropsVTypes">
  <Template>084229.23_SL500 CGL FBO_v2-2</Template>
  <TotalTime>2</TotalTime>
  <Pages>17</Pages>
  <Words>5440</Words>
  <Characters>31501</Characters>
  <Application>Microsoft Office Word</Application>
  <DocSecurity>0</DocSecurity>
  <Lines>656</Lines>
  <Paragraphs>302</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Shayka, Mark</dc:creator>
  <cp:keywords>ST-12345-MS80;class='Internal'</cp:keywords>
  <cp:lastModifiedBy>Shayka, Mark</cp:lastModifiedBy>
  <cp:revision>2</cp:revision>
  <cp:lastPrinted>2013-07-23T23:48:00Z</cp:lastPrinted>
  <dcterms:created xsi:type="dcterms:W3CDTF">2026-04-29T17:11:00Z</dcterms:created>
  <dcterms:modified xsi:type="dcterms:W3CDTF">2026-04-29T17:13:00Z</dcterms:modified>
</cp:coreProperties>
</file>